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B6" w:rsidRPr="00C85381" w:rsidRDefault="008645B6" w:rsidP="008645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5381">
        <w:rPr>
          <w:rFonts w:ascii="Times New Roman" w:hAnsi="Times New Roman" w:cs="Times New Roman"/>
          <w:sz w:val="24"/>
          <w:szCs w:val="24"/>
        </w:rPr>
        <w:t>Перечень</w:t>
      </w:r>
    </w:p>
    <w:p w:rsidR="008645B6" w:rsidRPr="00C85381" w:rsidRDefault="008645B6" w:rsidP="008645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5381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</w:t>
      </w:r>
      <w:r w:rsidR="004E18DB" w:rsidRPr="00C85381">
        <w:rPr>
          <w:rFonts w:ascii="Times New Roman" w:hAnsi="Times New Roman" w:cs="Times New Roman"/>
          <w:sz w:val="24"/>
          <w:szCs w:val="24"/>
        </w:rPr>
        <w:t xml:space="preserve">муниципальному  </w:t>
      </w:r>
      <w:proofErr w:type="gramStart"/>
      <w:r w:rsidRPr="00C8538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85381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</w:t>
      </w:r>
      <w:r w:rsidR="006E0509" w:rsidRPr="00C85381">
        <w:rPr>
          <w:rFonts w:ascii="Times New Roman" w:hAnsi="Times New Roman" w:cs="Times New Roman"/>
          <w:sz w:val="24"/>
          <w:szCs w:val="24"/>
        </w:rPr>
        <w:t>теплоснабжения на территории  Пестяковского муниципального района и Пестяковского городского поселения</w:t>
      </w:r>
    </w:p>
    <w:p w:rsidR="004E18DB" w:rsidRPr="006E0509" w:rsidRDefault="004E18DB" w:rsidP="008645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780"/>
        <w:gridCol w:w="3544"/>
        <w:gridCol w:w="2956"/>
      </w:tblGrid>
      <w:tr w:rsidR="001D76DD" w:rsidRPr="008645B6" w:rsidTr="008F5E27">
        <w:trPr>
          <w:trHeight w:val="1037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45B6" w:rsidRPr="008645B6" w:rsidRDefault="008645B6" w:rsidP="008645B6">
            <w:pPr>
              <w:spacing w:after="27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645B6" w:rsidRPr="008645B6" w:rsidRDefault="008645B6" w:rsidP="008645B6">
            <w:pPr>
              <w:spacing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45B6" w:rsidRPr="008645B6" w:rsidRDefault="008645B6" w:rsidP="008645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45B6" w:rsidRPr="008645B6" w:rsidRDefault="008645B6" w:rsidP="008645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45B6" w:rsidRPr="008645B6" w:rsidRDefault="008645B6" w:rsidP="008645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F5E27" w:rsidRPr="001D76DD" w:rsidTr="008F5E27">
        <w:trPr>
          <w:trHeight w:val="1037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B6" w:rsidRPr="00D95EDB" w:rsidRDefault="008645B6" w:rsidP="008645B6">
            <w:pPr>
              <w:spacing w:after="27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B6" w:rsidRPr="00D95EDB" w:rsidRDefault="008645B6" w:rsidP="008645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 №190-ФЗ « О теплоснабжении»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B6" w:rsidRPr="00D95EDB" w:rsidRDefault="008645B6" w:rsidP="008645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B6" w:rsidRPr="00D95EDB" w:rsidRDefault="001D76DD" w:rsidP="008645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F5E27" w:rsidRPr="001D76DD" w:rsidTr="00D95EDB">
        <w:trPr>
          <w:trHeight w:val="3887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E27" w:rsidRPr="00D95EDB" w:rsidRDefault="008F5E27" w:rsidP="008645B6">
            <w:pPr>
              <w:spacing w:after="27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EDB" w:rsidRPr="00D95EDB" w:rsidRDefault="00D95EDB" w:rsidP="00D95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proofErr w:type="spellStart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Пестяковского</w:t>
            </w:r>
            <w:proofErr w:type="spellEnd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Пестяковского</w:t>
            </w:r>
            <w:proofErr w:type="spellEnd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Ивановской области</w:t>
            </w:r>
            <w:proofErr w:type="gramStart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утверждении   Положения  </w:t>
            </w:r>
          </w:p>
          <w:p w:rsidR="00D95EDB" w:rsidRPr="00D95EDB" w:rsidRDefault="00D95EDB" w:rsidP="00D95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О муниципальном контроле </w:t>
            </w:r>
            <w:proofErr w:type="gramStart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5EDB" w:rsidRPr="00D95EDB" w:rsidRDefault="009713FD" w:rsidP="00D95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95EDB"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сполнением </w:t>
            </w:r>
            <w:proofErr w:type="gramStart"/>
            <w:r w:rsidR="00D95EDB"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</w:t>
            </w:r>
            <w:proofErr w:type="gramEnd"/>
            <w:r w:rsidR="00D95EDB"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теплоснабжающей</w:t>
            </w:r>
          </w:p>
          <w:p w:rsidR="00D95EDB" w:rsidRPr="00D95EDB" w:rsidRDefault="00D95EDB" w:rsidP="00D95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организацией обязательств </w:t>
            </w:r>
            <w:proofErr w:type="gramStart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5EDB" w:rsidRPr="00D95EDB" w:rsidRDefault="00D95EDB" w:rsidP="00D95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строительству, реконструкции и </w:t>
            </w:r>
          </w:p>
          <w:p w:rsidR="00D95EDB" w:rsidRPr="00D95EDB" w:rsidRDefault="00D95EDB" w:rsidP="00D95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модернизации объектов </w:t>
            </w:r>
          </w:p>
          <w:p w:rsidR="00D95EDB" w:rsidRPr="00D95EDB" w:rsidRDefault="00D95EDB" w:rsidP="00D95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теплоснабжения на территории </w:t>
            </w:r>
          </w:p>
          <w:p w:rsidR="00D95EDB" w:rsidRPr="00D95EDB" w:rsidRDefault="00D95EDB" w:rsidP="00D95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Пестяковского муниципального района Ивановской области» от </w:t>
            </w:r>
            <w:r w:rsidR="004E18DB" w:rsidRPr="004E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24.11.2021 № 77</w:t>
            </w:r>
          </w:p>
          <w:p w:rsidR="008F5E27" w:rsidRPr="00D95EDB" w:rsidRDefault="008F5E27" w:rsidP="008645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E27" w:rsidRPr="00D95EDB" w:rsidRDefault="008F5E27" w:rsidP="008645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E27" w:rsidRPr="00D95EDB" w:rsidRDefault="008F5E27" w:rsidP="008645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27" w:rsidRPr="001D76DD" w:rsidTr="004E18DB">
        <w:trPr>
          <w:trHeight w:val="4931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E27" w:rsidRPr="00D95EDB" w:rsidRDefault="008F5E27" w:rsidP="008645B6">
            <w:pPr>
              <w:spacing w:after="27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E27" w:rsidRPr="00D95EDB" w:rsidRDefault="008F5E27" w:rsidP="00D95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Пестяковского городского поселения Пестяковского муниципального района Ивановской области</w:t>
            </w:r>
            <w:bookmarkStart w:id="1" w:name="_Hlk73706793"/>
            <w:proofErr w:type="gramStart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утверждении   Положения  </w:t>
            </w:r>
          </w:p>
          <w:p w:rsidR="008F5E27" w:rsidRPr="00D95EDB" w:rsidRDefault="008F5E27" w:rsidP="00D95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О муниципальном контроле </w:t>
            </w:r>
            <w:proofErr w:type="gramStart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5E27" w:rsidRPr="00D95EDB" w:rsidRDefault="008F5E27" w:rsidP="00D95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исполнением </w:t>
            </w:r>
            <w:proofErr w:type="gramStart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</w:t>
            </w:r>
            <w:proofErr w:type="gramEnd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теплоснабжающей</w:t>
            </w:r>
          </w:p>
          <w:p w:rsidR="008F5E27" w:rsidRPr="00D95EDB" w:rsidRDefault="008F5E27" w:rsidP="00D95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организацией обязательств </w:t>
            </w:r>
            <w:proofErr w:type="gramStart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5E27" w:rsidRPr="00D95EDB" w:rsidRDefault="008F5E27" w:rsidP="00D95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строительству, реконструкции и </w:t>
            </w:r>
          </w:p>
          <w:p w:rsidR="008F5E27" w:rsidRPr="00D95EDB" w:rsidRDefault="008F5E27" w:rsidP="00D95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модернизации объектов </w:t>
            </w:r>
          </w:p>
          <w:p w:rsidR="008F5E27" w:rsidRPr="00D95EDB" w:rsidRDefault="008F5E27" w:rsidP="00D95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теплоснабжения на территории </w:t>
            </w:r>
          </w:p>
          <w:p w:rsidR="008F5E27" w:rsidRPr="00D95EDB" w:rsidRDefault="008F5E27" w:rsidP="008F5E2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Пестяковского городского поселения Пестяковского муниципального района</w:t>
            </w:r>
          </w:p>
          <w:p w:rsidR="008F5E27" w:rsidRPr="00D95EDB" w:rsidRDefault="008F5E27" w:rsidP="004E18D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Ивановской области</w:t>
            </w:r>
            <w:r w:rsidRPr="004E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29.11.2021 №109</w:t>
            </w:r>
            <w:bookmarkEnd w:id="1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E27" w:rsidRPr="00D95EDB" w:rsidRDefault="008F5E27" w:rsidP="008645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E27" w:rsidRPr="00D95EDB" w:rsidRDefault="008F5E27" w:rsidP="008645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8645B6" w:rsidRDefault="008645B6" w:rsidP="0086092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5B6" w:rsidRDefault="008645B6" w:rsidP="0086092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381" w:rsidRDefault="00C85381" w:rsidP="004A5D0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D02" w:rsidRPr="00C85381" w:rsidRDefault="00053FC8" w:rsidP="004A5D0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</w:t>
      </w:r>
    </w:p>
    <w:p w:rsidR="00053FC8" w:rsidRPr="00C85381" w:rsidRDefault="00053FC8" w:rsidP="009713F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81">
        <w:rPr>
          <w:rFonts w:ascii="Times New Roman" w:hAnsi="Times New Roman" w:cs="Times New Roman"/>
          <w:b/>
          <w:sz w:val="24"/>
          <w:szCs w:val="24"/>
        </w:rPr>
        <w:t xml:space="preserve">о мерах ответственности, применяемых при нарушении обязательных требований, </w:t>
      </w:r>
      <w:r w:rsidR="004A5D02" w:rsidRPr="00C85381">
        <w:rPr>
          <w:rFonts w:ascii="Times New Roman" w:hAnsi="Times New Roman" w:cs="Times New Roman"/>
          <w:b/>
          <w:sz w:val="24"/>
          <w:szCs w:val="24"/>
        </w:rPr>
        <w:t xml:space="preserve">соблюдение которых оценивается при проведении мероприятий по </w:t>
      </w:r>
      <w:r w:rsidR="004E18DB" w:rsidRPr="00C85381">
        <w:rPr>
          <w:rFonts w:ascii="Times New Roman" w:hAnsi="Times New Roman" w:cs="Times New Roman"/>
          <w:b/>
          <w:sz w:val="24"/>
          <w:szCs w:val="24"/>
        </w:rPr>
        <w:t xml:space="preserve">муниципальному </w:t>
      </w:r>
      <w:proofErr w:type="gramStart"/>
      <w:r w:rsidR="004A5D02" w:rsidRPr="00C85381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="004A5D02" w:rsidRPr="00C85381">
        <w:rPr>
          <w:rFonts w:ascii="Times New Roman" w:hAnsi="Times New Roman" w:cs="Times New Roman"/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Пестяковского муниципального района и Пест</w:t>
      </w:r>
      <w:r w:rsidR="009713FD" w:rsidRPr="00C85381">
        <w:rPr>
          <w:rFonts w:ascii="Times New Roman" w:hAnsi="Times New Roman" w:cs="Times New Roman"/>
          <w:b/>
          <w:sz w:val="24"/>
          <w:szCs w:val="24"/>
        </w:rPr>
        <w:t>яковского городского поселения</w:t>
      </w:r>
    </w:p>
    <w:p w:rsidR="004A5D02" w:rsidRPr="00C85381" w:rsidRDefault="004A5D02" w:rsidP="0086092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9713FD" w:rsidRPr="00C85381" w:rsidRDefault="009713FD" w:rsidP="009713F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853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Административная ответственность</w:t>
      </w:r>
    </w:p>
    <w:p w:rsidR="00C85381" w:rsidRPr="00C85381" w:rsidRDefault="00C85381" w:rsidP="00C85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81">
        <w:rPr>
          <w:rFonts w:ascii="Times New Roman" w:hAnsi="Times New Roman" w:cs="Times New Roman"/>
          <w:sz w:val="24"/>
          <w:szCs w:val="24"/>
        </w:rPr>
        <w:t xml:space="preserve">Меры административной ответственности, применяемые при нарушении обязательных требований, определены  Кодексом   Российской  Федерации  об  административных   правонарушениях  от  30.12.2001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817">
        <w:rPr>
          <w:rFonts w:ascii="Times New Roman" w:hAnsi="Times New Roman" w:cs="Times New Roman"/>
          <w:sz w:val="24"/>
          <w:szCs w:val="24"/>
        </w:rPr>
        <w:t>№ 195 -</w:t>
      </w:r>
      <w:r w:rsidR="00910817" w:rsidRPr="00D9730A">
        <w:rPr>
          <w:rFonts w:ascii="Times New Roman" w:hAnsi="Times New Roman" w:cs="Times New Roman"/>
          <w:sz w:val="24"/>
          <w:szCs w:val="24"/>
        </w:rPr>
        <w:t>ФЗ</w:t>
      </w:r>
      <w:r w:rsidR="00910817" w:rsidRPr="00D9730A">
        <w:t xml:space="preserve">  </w:t>
      </w:r>
      <w:r w:rsidR="00910817" w:rsidRPr="00D9730A">
        <w:rPr>
          <w:rFonts w:ascii="Times New Roman" w:hAnsi="Times New Roman" w:cs="Times New Roman"/>
        </w:rPr>
        <w:t>(ред. от 14.07.2022)</w:t>
      </w:r>
      <w:r w:rsidR="00910817">
        <w:rPr>
          <w:b/>
        </w:rPr>
        <w:t xml:space="preserve"> </w:t>
      </w:r>
    </w:p>
    <w:p w:rsidR="009713FD" w:rsidRPr="009713FD" w:rsidRDefault="009713FD" w:rsidP="009713F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3FC8" w:rsidRPr="00C85381" w:rsidRDefault="00053FC8" w:rsidP="0086092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3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Статья 9.24. </w:t>
      </w:r>
      <w:r w:rsidR="004E18DB" w:rsidRPr="00C853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</w:t>
      </w:r>
      <w:r w:rsidRPr="00C853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арушение зак</w:t>
      </w:r>
      <w:r w:rsidR="00C85381" w:rsidRPr="00C853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онодательства о теплоснабжении</w:t>
      </w:r>
    </w:p>
    <w:p w:rsidR="00053FC8" w:rsidRPr="00C85381" w:rsidRDefault="00053FC8" w:rsidP="0086092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proofErr w:type="gramStart"/>
      <w:r w:rsidRPr="00C85381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Ненаправление</w:t>
      </w:r>
      <w:proofErr w:type="spellEnd"/>
      <w:r w:rsidRPr="00C85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схемы теплоснабжения или проекта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власти, уполномоченный на реализацию государственной политики в сфере теплоснабжения, либо направление проекта схемы теплоснабжения или проекта актуализированной схемы теплоснабжения поселения, городского округа с численностью населения пятьсот тысяч человек и более</w:t>
      </w:r>
      <w:proofErr w:type="gramEnd"/>
      <w:r w:rsidRPr="00C85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5381">
        <w:rPr>
          <w:rFonts w:ascii="Times New Roman" w:eastAsia="Times New Roman" w:hAnsi="Times New Roman" w:cs="Times New Roman"/>
          <w:color w:val="000000"/>
          <w:sz w:val="24"/>
          <w:szCs w:val="24"/>
        </w:rPr>
        <w:t>или города федерального значения для утверждения в федеральный орган исполнительной власти, уполномоченный на реализацию государственной политики в сфере теплоснабжения, с нарушением </w:t>
      </w:r>
      <w:hyperlink r:id="rId6" w:history="1">
        <w:r w:rsidRPr="00C853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требований</w:t>
        </w:r>
      </w:hyperlink>
      <w:r w:rsidRPr="00C85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 схемам теплоснабжения,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более, уполномоченным должностным лицом органа исполнительной власти города федерального значения, за исключением случаев</w:t>
      </w:r>
      <w:proofErr w:type="gramEnd"/>
      <w:r w:rsidRPr="00C85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предусмотренных </w:t>
      </w:r>
      <w:hyperlink r:id="rId7" w:anchor="dst8189" w:history="1">
        <w:r w:rsidRPr="00C853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частью 2</w:t>
        </w:r>
      </w:hyperlink>
      <w:r w:rsidRPr="00C85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настоящей статьи, - 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053FC8" w:rsidRPr="00C85381" w:rsidRDefault="00053FC8" w:rsidP="008609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8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C85381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F0286" w:rsidRPr="00C85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381">
        <w:rPr>
          <w:rFonts w:ascii="Times New Roman" w:eastAsia="Times New Roman" w:hAnsi="Times New Roman" w:cs="Times New Roman"/>
          <w:sz w:val="24"/>
          <w:szCs w:val="24"/>
        </w:rPr>
        <w:t>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либо итогового документа (протокола)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</w:t>
      </w:r>
      <w:proofErr w:type="gramEnd"/>
      <w:r w:rsidRPr="00C85381">
        <w:rPr>
          <w:rFonts w:ascii="Times New Roman" w:eastAsia="Times New Roman" w:hAnsi="Times New Roman" w:cs="Times New Roman"/>
          <w:sz w:val="24"/>
          <w:szCs w:val="24"/>
        </w:rPr>
        <w:t xml:space="preserve"> органа исполнительной власти города федерального значения, уполномоченных на проведение публичных слушаний, - </w:t>
      </w:r>
      <w:r w:rsidRPr="00C85381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053FC8" w:rsidRPr="00C85381" w:rsidRDefault="00053FC8" w:rsidP="008609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8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C85381">
        <w:rPr>
          <w:rFonts w:ascii="Times New Roman" w:eastAsia="Times New Roman" w:hAnsi="Times New Roman" w:cs="Times New Roman"/>
          <w:sz w:val="24"/>
          <w:szCs w:val="24"/>
        </w:rPr>
        <w:t>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района, на территории которого расположено сельское поселение, в установленный срок решения, принятого федеральным органом исполнительной власти, уполномоченным на реализацию государственной политики в сфере теплоснабжения, по результатам рассмотрения разногласий, возникших между органами исполнительной власти субъектов Российской Федерации</w:t>
      </w:r>
      <w:proofErr w:type="gramEnd"/>
      <w:r w:rsidRPr="00C85381">
        <w:rPr>
          <w:rFonts w:ascii="Times New Roman" w:eastAsia="Times New Roman" w:hAnsi="Times New Roman" w:cs="Times New Roman"/>
          <w:sz w:val="24"/>
          <w:szCs w:val="24"/>
        </w:rPr>
        <w:t xml:space="preserve">, органами местного самоуправления поселений или городских округов, организациями, осуществляющими регулируемые виды деятельности в сфере теплоснабжения, и потребителями при утверждении схем теплоснабжения или актуализации схем теплоснабжения, - </w:t>
      </w:r>
      <w:r w:rsidRPr="00C85381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053FC8" w:rsidRPr="00C85381" w:rsidRDefault="00053FC8" w:rsidP="008609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81">
        <w:rPr>
          <w:rFonts w:ascii="Times New Roman" w:eastAsia="Times New Roman" w:hAnsi="Times New Roman" w:cs="Times New Roman"/>
          <w:sz w:val="24"/>
          <w:szCs w:val="24"/>
        </w:rPr>
        <w:t xml:space="preserve">4. Нарушение должностным лицом </w:t>
      </w:r>
      <w:proofErr w:type="gramStart"/>
      <w:r w:rsidRPr="00C85381">
        <w:rPr>
          <w:rFonts w:ascii="Times New Roman" w:eastAsia="Times New Roman" w:hAnsi="Times New Roman" w:cs="Times New Roman"/>
          <w:sz w:val="24"/>
          <w:szCs w:val="24"/>
        </w:rPr>
        <w:t>органа исполнительной власти субъекта Российской Федерации порядка осуществления мониторинга разработки</w:t>
      </w:r>
      <w:proofErr w:type="gramEnd"/>
      <w:r w:rsidRPr="00C85381">
        <w:rPr>
          <w:rFonts w:ascii="Times New Roman" w:eastAsia="Times New Roman" w:hAnsi="Times New Roman" w:cs="Times New Roman"/>
          <w:sz w:val="24"/>
          <w:szCs w:val="24"/>
        </w:rPr>
        <w:t xml:space="preserve"> и утверждения схем теплоснабжения поселений, городских округов с численностью населения менее пятисот тысяч человек - </w:t>
      </w:r>
      <w:r w:rsidRPr="00C85381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053FC8" w:rsidRPr="00C85381" w:rsidRDefault="00053FC8" w:rsidP="008609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381">
        <w:rPr>
          <w:rFonts w:ascii="Times New Roman" w:eastAsia="Times New Roman" w:hAnsi="Times New Roman" w:cs="Times New Roman"/>
          <w:sz w:val="24"/>
          <w:szCs w:val="24"/>
        </w:rPr>
        <w:t xml:space="preserve">5.Повторное совершение административного </w:t>
      </w:r>
      <w:r w:rsidRPr="00C85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правонарушения, предусмотренного </w:t>
      </w:r>
      <w:hyperlink r:id="rId8" w:anchor="dst8187" w:history="1">
        <w:r w:rsidRPr="00C853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частями 1</w:t>
        </w:r>
      </w:hyperlink>
      <w:r w:rsidRPr="00C85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</w:t>
      </w:r>
      <w:hyperlink r:id="rId9" w:anchor="dst8193" w:history="1">
        <w:r w:rsidRPr="00C853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Pr="00C85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настоящей статьи, - влечет наложение административного штрафа на должностных лиц в размере от тридцати тысяч до пятидесяти тысяч рублей или </w:t>
      </w:r>
      <w:r w:rsidRPr="00C85381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дисквалификацию на срок от одного года до двух лет.</w:t>
      </w:r>
    </w:p>
    <w:p w:rsidR="00796318" w:rsidRPr="00C85381" w:rsidRDefault="00796318" w:rsidP="00796318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381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29.07.2017 № 279-ФЗ внесены изменения в Кодекс Российской Федерации об административных правонарушениях в части дополнения </w:t>
      </w:r>
      <w:r w:rsidRPr="00C85381">
        <w:rPr>
          <w:rFonts w:ascii="Times New Roman" w:hAnsi="Times New Roman" w:cs="Times New Roman"/>
          <w:sz w:val="24"/>
          <w:szCs w:val="24"/>
          <w:u w:val="single"/>
        </w:rPr>
        <w:t>статьи 19.5 частями 31 и 32</w:t>
      </w:r>
      <w:r w:rsidRPr="00C85381">
        <w:rPr>
          <w:rFonts w:ascii="Times New Roman" w:hAnsi="Times New Roman" w:cs="Times New Roman"/>
          <w:sz w:val="24"/>
          <w:szCs w:val="24"/>
        </w:rPr>
        <w:t>, устанавливающими административную ответственность за невыполнение в установленный срок законного предписания (постановления, представления, решения) органа, осуществляющего муниципальный контроль за выполнением единой теплоснабжающей организацией в системе теплоснабжения мероприятий по строительству, реконструкции и (или) модернизации объектов теплоснабжения, необходимых для развития</w:t>
      </w:r>
      <w:proofErr w:type="gramEnd"/>
      <w:r w:rsidRPr="00C853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85381">
        <w:rPr>
          <w:rFonts w:ascii="Times New Roman" w:hAnsi="Times New Roman" w:cs="Times New Roman"/>
          <w:sz w:val="24"/>
          <w:szCs w:val="24"/>
        </w:rPr>
        <w:t>повышения надежности и энергетической эффективности системы теплоснабжения и определенных для нее в схеме теплоснабжения, в случаях, установленных Федеральным законом от 27.07.2010 № 190-ФЗ «О теплоснабжении».</w:t>
      </w:r>
      <w:proofErr w:type="gramEnd"/>
    </w:p>
    <w:p w:rsidR="00D954CD" w:rsidRPr="00C85381" w:rsidRDefault="00D954CD" w:rsidP="008609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6E2" w:rsidRPr="00C85381" w:rsidRDefault="00CA66E2" w:rsidP="00860923">
      <w:pPr>
        <w:pStyle w:val="a8"/>
        <w:spacing w:before="0"/>
        <w:ind w:left="0" w:firstLine="0"/>
        <w:rPr>
          <w:b/>
          <w:sz w:val="24"/>
          <w:szCs w:val="24"/>
        </w:rPr>
      </w:pPr>
    </w:p>
    <w:p w:rsidR="00860923" w:rsidRPr="00C85381" w:rsidRDefault="00860923" w:rsidP="00860923">
      <w:pPr>
        <w:pStyle w:val="a8"/>
        <w:spacing w:before="0"/>
        <w:ind w:left="0" w:firstLine="0"/>
        <w:rPr>
          <w:b/>
          <w:sz w:val="24"/>
          <w:szCs w:val="24"/>
        </w:rPr>
      </w:pPr>
    </w:p>
    <w:p w:rsidR="00860923" w:rsidRPr="00C85381" w:rsidRDefault="00860923" w:rsidP="00860923">
      <w:pPr>
        <w:pStyle w:val="a8"/>
        <w:spacing w:before="0"/>
        <w:ind w:left="0" w:firstLine="0"/>
        <w:rPr>
          <w:b/>
          <w:sz w:val="24"/>
          <w:szCs w:val="24"/>
        </w:rPr>
      </w:pPr>
    </w:p>
    <w:sectPr w:rsidR="00860923" w:rsidRPr="00C85381" w:rsidSect="00D95EDB">
      <w:pgSz w:w="11906" w:h="16838"/>
      <w:pgMar w:top="709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A94"/>
    <w:multiLevelType w:val="hybridMultilevel"/>
    <w:tmpl w:val="08F4BC04"/>
    <w:lvl w:ilvl="0" w:tplc="D5EEC4D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60073D"/>
    <w:multiLevelType w:val="hybridMultilevel"/>
    <w:tmpl w:val="9B824C2A"/>
    <w:lvl w:ilvl="0" w:tplc="47DE7926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486A38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49E694A0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3C96A33E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ED4E5826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3A4E3DB0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109A4E40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86E0CD90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9DB26740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3">
    <w:nsid w:val="6D193256"/>
    <w:multiLevelType w:val="hybridMultilevel"/>
    <w:tmpl w:val="8BD85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27E0F"/>
    <w:multiLevelType w:val="hybridMultilevel"/>
    <w:tmpl w:val="6DDE5562"/>
    <w:lvl w:ilvl="0" w:tplc="84F2A438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14"/>
    <w:rsid w:val="00053FC8"/>
    <w:rsid w:val="000752D6"/>
    <w:rsid w:val="00076A50"/>
    <w:rsid w:val="000C5A66"/>
    <w:rsid w:val="00140D99"/>
    <w:rsid w:val="00155074"/>
    <w:rsid w:val="00190E54"/>
    <w:rsid w:val="001D76DD"/>
    <w:rsid w:val="00214014"/>
    <w:rsid w:val="002658E8"/>
    <w:rsid w:val="002A1477"/>
    <w:rsid w:val="002D105A"/>
    <w:rsid w:val="00304286"/>
    <w:rsid w:val="003257A3"/>
    <w:rsid w:val="003C73FB"/>
    <w:rsid w:val="003F0286"/>
    <w:rsid w:val="00424355"/>
    <w:rsid w:val="0049649F"/>
    <w:rsid w:val="004A5D02"/>
    <w:rsid w:val="004B0CDF"/>
    <w:rsid w:val="004E18DB"/>
    <w:rsid w:val="005035B9"/>
    <w:rsid w:val="005809BD"/>
    <w:rsid w:val="006667F6"/>
    <w:rsid w:val="00694E2F"/>
    <w:rsid w:val="006A3E86"/>
    <w:rsid w:val="006E0509"/>
    <w:rsid w:val="00716612"/>
    <w:rsid w:val="00796318"/>
    <w:rsid w:val="00800CC2"/>
    <w:rsid w:val="00860923"/>
    <w:rsid w:val="008645B6"/>
    <w:rsid w:val="00894447"/>
    <w:rsid w:val="008C2F82"/>
    <w:rsid w:val="008F5E27"/>
    <w:rsid w:val="00910817"/>
    <w:rsid w:val="009713FD"/>
    <w:rsid w:val="009B5B48"/>
    <w:rsid w:val="009C6EEF"/>
    <w:rsid w:val="00A0319B"/>
    <w:rsid w:val="00A85B15"/>
    <w:rsid w:val="00A91A09"/>
    <w:rsid w:val="00BE1A4E"/>
    <w:rsid w:val="00C0214F"/>
    <w:rsid w:val="00C56BDA"/>
    <w:rsid w:val="00C85381"/>
    <w:rsid w:val="00CA66E2"/>
    <w:rsid w:val="00CE6848"/>
    <w:rsid w:val="00D6266D"/>
    <w:rsid w:val="00D954CD"/>
    <w:rsid w:val="00D95EDB"/>
    <w:rsid w:val="00D9730A"/>
    <w:rsid w:val="00DE0CFC"/>
    <w:rsid w:val="00E0148E"/>
    <w:rsid w:val="00E03E93"/>
    <w:rsid w:val="00E5214C"/>
    <w:rsid w:val="00E562F4"/>
    <w:rsid w:val="00ED09BE"/>
    <w:rsid w:val="00F33196"/>
    <w:rsid w:val="00F375E5"/>
    <w:rsid w:val="00F4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14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14"/>
    <w:rPr>
      <w:color w:val="0000FF"/>
      <w:u w:val="single"/>
    </w:rPr>
  </w:style>
  <w:style w:type="character" w:customStyle="1" w:styleId="hl">
    <w:name w:val="hl"/>
    <w:basedOn w:val="a0"/>
    <w:rsid w:val="00214014"/>
  </w:style>
  <w:style w:type="paragraph" w:styleId="a4">
    <w:name w:val="No Spacing"/>
    <w:uiPriority w:val="1"/>
    <w:qFormat/>
    <w:rsid w:val="00214014"/>
    <w:pPr>
      <w:ind w:firstLine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E0148E"/>
    <w:pPr>
      <w:autoSpaceDE w:val="0"/>
      <w:autoSpaceDN w:val="0"/>
      <w:adjustRightInd w:val="0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uiPriority w:val="22"/>
    <w:qFormat/>
    <w:rsid w:val="006667F6"/>
    <w:rPr>
      <w:b/>
      <w:bCs/>
    </w:rPr>
  </w:style>
  <w:style w:type="character" w:customStyle="1" w:styleId="a7">
    <w:name w:val="Основной текст_"/>
    <w:basedOn w:val="a0"/>
    <w:link w:val="4"/>
    <w:rsid w:val="002D105A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7"/>
    <w:rsid w:val="002D105A"/>
    <w:pPr>
      <w:widowControl w:val="0"/>
      <w:shd w:val="clear" w:color="auto" w:fill="FFFFFF"/>
      <w:spacing w:before="240" w:after="240" w:line="227" w:lineRule="exact"/>
      <w:ind w:firstLine="0"/>
    </w:pPr>
    <w:rPr>
      <w:rFonts w:ascii="Arial" w:eastAsia="Arial" w:hAnsi="Arial" w:cs="Arial"/>
      <w:spacing w:val="4"/>
      <w:sz w:val="19"/>
      <w:szCs w:val="19"/>
    </w:rPr>
  </w:style>
  <w:style w:type="paragraph" w:styleId="a8">
    <w:name w:val="Body Text"/>
    <w:basedOn w:val="a"/>
    <w:link w:val="a9"/>
    <w:uiPriority w:val="1"/>
    <w:qFormat/>
    <w:rsid w:val="00E5214C"/>
    <w:pPr>
      <w:widowControl w:val="0"/>
      <w:autoSpaceDE w:val="0"/>
      <w:autoSpaceDN w:val="0"/>
      <w:spacing w:before="201"/>
      <w:ind w:left="116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5214C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331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319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94447"/>
    <w:pPr>
      <w:spacing w:after="200" w:line="276" w:lineRule="auto"/>
      <w:ind w:left="720" w:firstLine="0"/>
      <w:contextualSpacing/>
    </w:pPr>
    <w:rPr>
      <w:rFonts w:eastAsiaTheme="minorEastAsia"/>
      <w:lang w:eastAsia="ru-RU"/>
    </w:rPr>
  </w:style>
  <w:style w:type="character" w:customStyle="1" w:styleId="pt-a0">
    <w:name w:val="pt-a0"/>
    <w:basedOn w:val="a0"/>
    <w:rsid w:val="00304286"/>
  </w:style>
  <w:style w:type="paragraph" w:customStyle="1" w:styleId="pt-a-000021">
    <w:name w:val="pt-a-000021"/>
    <w:basedOn w:val="a"/>
    <w:rsid w:val="0030428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58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RMATTEXT">
    <w:name w:val=".FORMATTEXT"/>
    <w:uiPriority w:val="99"/>
    <w:rsid w:val="004B0CDF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formattext"/>
    <w:basedOn w:val="a"/>
    <w:rsid w:val="00A85B1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85B15"/>
  </w:style>
  <w:style w:type="character" w:customStyle="1" w:styleId="pt-a0-000004">
    <w:name w:val="pt-a0-000004"/>
    <w:basedOn w:val="a0"/>
    <w:rsid w:val="00A85B15"/>
  </w:style>
  <w:style w:type="paragraph" w:customStyle="1" w:styleId="pt-000002">
    <w:name w:val="pt-000002"/>
    <w:basedOn w:val="a"/>
    <w:rsid w:val="00A85B1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medium-font-size">
    <w:name w:val="has-medium-font-size"/>
    <w:basedOn w:val="a"/>
    <w:rsid w:val="00053FC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053FC8"/>
    <w:pPr>
      <w:tabs>
        <w:tab w:val="left" w:pos="709"/>
      </w:tabs>
      <w:suppressAutoHyphens/>
      <w:spacing w:line="100" w:lineRule="atLeast"/>
      <w:ind w:firstLine="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053FC8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14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14"/>
    <w:rPr>
      <w:color w:val="0000FF"/>
      <w:u w:val="single"/>
    </w:rPr>
  </w:style>
  <w:style w:type="character" w:customStyle="1" w:styleId="hl">
    <w:name w:val="hl"/>
    <w:basedOn w:val="a0"/>
    <w:rsid w:val="00214014"/>
  </w:style>
  <w:style w:type="paragraph" w:styleId="a4">
    <w:name w:val="No Spacing"/>
    <w:uiPriority w:val="1"/>
    <w:qFormat/>
    <w:rsid w:val="00214014"/>
    <w:pPr>
      <w:ind w:firstLine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E0148E"/>
    <w:pPr>
      <w:autoSpaceDE w:val="0"/>
      <w:autoSpaceDN w:val="0"/>
      <w:adjustRightInd w:val="0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uiPriority w:val="22"/>
    <w:qFormat/>
    <w:rsid w:val="006667F6"/>
    <w:rPr>
      <w:b/>
      <w:bCs/>
    </w:rPr>
  </w:style>
  <w:style w:type="character" w:customStyle="1" w:styleId="a7">
    <w:name w:val="Основной текст_"/>
    <w:basedOn w:val="a0"/>
    <w:link w:val="4"/>
    <w:rsid w:val="002D105A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7"/>
    <w:rsid w:val="002D105A"/>
    <w:pPr>
      <w:widowControl w:val="0"/>
      <w:shd w:val="clear" w:color="auto" w:fill="FFFFFF"/>
      <w:spacing w:before="240" w:after="240" w:line="227" w:lineRule="exact"/>
      <w:ind w:firstLine="0"/>
    </w:pPr>
    <w:rPr>
      <w:rFonts w:ascii="Arial" w:eastAsia="Arial" w:hAnsi="Arial" w:cs="Arial"/>
      <w:spacing w:val="4"/>
      <w:sz w:val="19"/>
      <w:szCs w:val="19"/>
    </w:rPr>
  </w:style>
  <w:style w:type="paragraph" w:styleId="a8">
    <w:name w:val="Body Text"/>
    <w:basedOn w:val="a"/>
    <w:link w:val="a9"/>
    <w:uiPriority w:val="1"/>
    <w:qFormat/>
    <w:rsid w:val="00E5214C"/>
    <w:pPr>
      <w:widowControl w:val="0"/>
      <w:autoSpaceDE w:val="0"/>
      <w:autoSpaceDN w:val="0"/>
      <w:spacing w:before="201"/>
      <w:ind w:left="116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5214C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331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319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94447"/>
    <w:pPr>
      <w:spacing w:after="200" w:line="276" w:lineRule="auto"/>
      <w:ind w:left="720" w:firstLine="0"/>
      <w:contextualSpacing/>
    </w:pPr>
    <w:rPr>
      <w:rFonts w:eastAsiaTheme="minorEastAsia"/>
      <w:lang w:eastAsia="ru-RU"/>
    </w:rPr>
  </w:style>
  <w:style w:type="character" w:customStyle="1" w:styleId="pt-a0">
    <w:name w:val="pt-a0"/>
    <w:basedOn w:val="a0"/>
    <w:rsid w:val="00304286"/>
  </w:style>
  <w:style w:type="paragraph" w:customStyle="1" w:styleId="pt-a-000021">
    <w:name w:val="pt-a-000021"/>
    <w:basedOn w:val="a"/>
    <w:rsid w:val="0030428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58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RMATTEXT">
    <w:name w:val=".FORMATTEXT"/>
    <w:uiPriority w:val="99"/>
    <w:rsid w:val="004B0CDF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formattext"/>
    <w:basedOn w:val="a"/>
    <w:rsid w:val="00A85B1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85B15"/>
  </w:style>
  <w:style w:type="character" w:customStyle="1" w:styleId="pt-a0-000004">
    <w:name w:val="pt-a0-000004"/>
    <w:basedOn w:val="a0"/>
    <w:rsid w:val="00A85B15"/>
  </w:style>
  <w:style w:type="paragraph" w:customStyle="1" w:styleId="pt-000002">
    <w:name w:val="pt-000002"/>
    <w:basedOn w:val="a"/>
    <w:rsid w:val="00A85B1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medium-font-size">
    <w:name w:val="has-medium-font-size"/>
    <w:basedOn w:val="a"/>
    <w:rsid w:val="00053FC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053FC8"/>
    <w:pPr>
      <w:tabs>
        <w:tab w:val="left" w:pos="709"/>
      </w:tabs>
      <w:suppressAutoHyphens/>
      <w:spacing w:line="100" w:lineRule="atLeast"/>
      <w:ind w:firstLine="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053FC8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353/2bb5decfcd1c93f8d861a379b5671e8bd97efd1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8353/2bb5decfcd1c93f8d861a379b5671e8bd97efd1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61/2bb5decfcd1c93f8d861a379b5671e8bd97efd1f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8353/2bb5decfcd1c93f8d861a379b5671e8bd97efd1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6215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Блюмский Сергей Михайлович</dc:creator>
  <cp:lastModifiedBy>Kontrol_2021</cp:lastModifiedBy>
  <cp:revision>2</cp:revision>
  <cp:lastPrinted>2022-01-13T06:01:00Z</cp:lastPrinted>
  <dcterms:created xsi:type="dcterms:W3CDTF">2025-02-04T06:13:00Z</dcterms:created>
  <dcterms:modified xsi:type="dcterms:W3CDTF">2025-02-04T06:13:00Z</dcterms:modified>
</cp:coreProperties>
</file>