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FA" w:rsidRPr="008150A8" w:rsidRDefault="007342FA" w:rsidP="007342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A8">
        <w:rPr>
          <w:rFonts w:ascii="Times New Roman" w:hAnsi="Times New Roman" w:cs="Times New Roman"/>
          <w:b/>
          <w:sz w:val="24"/>
          <w:szCs w:val="24"/>
        </w:rPr>
        <w:t xml:space="preserve">Мониторинг результатов деятельности субъектов  </w:t>
      </w:r>
    </w:p>
    <w:p w:rsidR="007342FA" w:rsidRPr="008150A8" w:rsidRDefault="007342FA" w:rsidP="007342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A8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 в Пестяковском</w:t>
      </w:r>
    </w:p>
    <w:p w:rsidR="007342FA" w:rsidRPr="008150A8" w:rsidRDefault="007342FA" w:rsidP="007342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A8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8150A8"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 w:rsidRPr="008150A8">
        <w:rPr>
          <w:rFonts w:ascii="Times New Roman" w:hAnsi="Times New Roman" w:cs="Times New Roman"/>
          <w:b/>
          <w:sz w:val="24"/>
          <w:szCs w:val="24"/>
        </w:rPr>
        <w:t xml:space="preserve"> на 01.01.2019г.</w:t>
      </w:r>
    </w:p>
    <w:p w:rsidR="007342FA" w:rsidRDefault="007342FA" w:rsidP="007342FA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1361"/>
        <w:gridCol w:w="794"/>
        <w:gridCol w:w="1191"/>
      </w:tblGrid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Показатели мониторинга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94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119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Динамика развития</w:t>
            </w:r>
          </w:p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(в % к</w:t>
            </w:r>
            <w:proofErr w:type="gramEnd"/>
          </w:p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предыд</w:t>
            </w:r>
            <w:proofErr w:type="spell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. периоду)</w:t>
            </w:r>
            <w:proofErr w:type="gramEnd"/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2FA" w:rsidTr="00C31E56">
        <w:trPr>
          <w:trHeight w:val="826"/>
        </w:trPr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97%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83%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 ремонт автотран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портных средств, мотоциклов, бытовых изделий и предметов личного пользования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субъектов малого и среднего предпринимательства, в том числе у индивидуальных предпринимателей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both"/>
            </w:pP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Оптовая и розничная торговля; ремонт 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портных средств, мотоциклов, бытовых изделий и предметов личного пользования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человек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98%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 субъектов малого и среднего предприним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rPr>
          <w:trHeight w:val="525"/>
        </w:trPr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 ремонт автотран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портных средств, мотоциклов, бытовых изделий и предметов личного пользования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субъектов мал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предпринимательства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Поступление налоговых платежей в консолидирова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ный бюджет Ивановской области по следующим в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дам доходов: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96,7%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дов деятельности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96,7%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ных физическими лицами, зарегистрированными в качестве индивидуальных предпринимателей, час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ных нотариусов и других лиц, занимающихся частной практикой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предпринимательства, получивших государственную поддержку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в том числе по основным формам государственной поддержки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Удельный вес стоимости контрактов и договоров, заключенных с субъектами малого и среднего предпр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нимательства, в общей стоимости заключенных ко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трактов и договоров на поставку товаров, выполнение работ, оказание услуг для 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нужд Ивановской области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</w:tbl>
    <w:p w:rsidR="00246254" w:rsidRDefault="00246254">
      <w:bookmarkStart w:id="0" w:name="_GoBack"/>
      <w:bookmarkEnd w:id="0"/>
    </w:p>
    <w:sectPr w:rsidR="0024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B1"/>
    <w:rsid w:val="00246254"/>
    <w:rsid w:val="006961B1"/>
    <w:rsid w:val="0073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2596</Characters>
  <Application>Microsoft Office Word</Application>
  <DocSecurity>0</DocSecurity>
  <Lines>21</Lines>
  <Paragraphs>6</Paragraphs>
  <ScaleCrop>false</ScaleCrop>
  <Company>Home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2019-08-14T09:48:00Z</dcterms:created>
  <dcterms:modified xsi:type="dcterms:W3CDTF">2019-08-14T09:48:00Z</dcterms:modified>
</cp:coreProperties>
</file>