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DE" w:rsidRDefault="00603D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603DDE" w:rsidRDefault="00603DDE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Пестяковского городского поселения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муниципального района на 2018-2025 годы»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3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603DDE" w:rsidRDefault="00603DDE">
      <w:pPr>
        <w:spacing w:before="120" w:after="0" w:line="240" w:lineRule="auto"/>
        <w:ind w:left="3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361" w:type="dxa"/>
        <w:tblLook w:val="04A0" w:firstRow="1" w:lastRow="0" w:firstColumn="1" w:lastColumn="0" w:noHBand="0" w:noVBand="1"/>
      </w:tblPr>
      <w:tblGrid>
        <w:gridCol w:w="2712"/>
        <w:gridCol w:w="6673"/>
      </w:tblGrid>
      <w:tr w:rsidR="00603DDE">
        <w:trPr>
          <w:trHeight w:val="68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Пестяковского городского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поселения Пестяковского муниципального района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 2018-2025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03DDE">
        <w:trPr>
          <w:trHeight w:val="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 w:rsidP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 годы</w:t>
            </w:r>
          </w:p>
        </w:tc>
      </w:tr>
      <w:tr w:rsidR="00603DDE">
        <w:trPr>
          <w:trHeight w:val="1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«Благоустройство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 территорий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«Благоустройство муниципальных территорий общего пользования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Благоустройство муниципальных территорий в рамках поддержки местных 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инициатив»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603DDE">
        <w:trPr>
          <w:trHeight w:val="5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Пестяковского муниципального района </w:t>
            </w:r>
          </w:p>
          <w:p w:rsidR="00603DDE" w:rsidRDefault="0060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и жилищно-коммунального хозяйства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Пестяковского муниципального района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Пестяковского муниципального района.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и комфорта городской среды на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Пестяковского городского поселения</w:t>
            </w:r>
          </w:p>
          <w:p w:rsidR="00603DDE" w:rsidRDefault="00603DD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603DDE">
        <w:trPr>
          <w:trHeight w:val="25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муниципальных территорий общего пользования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Правил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</w:tc>
      </w:tr>
      <w:tr w:rsidR="00603DDE">
        <w:trPr>
          <w:trHeight w:val="1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700 000,00руб.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1 170 000,00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9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21 476 534,48</w:t>
            </w:r>
            <w:r w:rsidR="0066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0,00руб.</w:t>
            </w:r>
          </w:p>
          <w:p w:rsidR="00603DDE" w:rsidRDefault="006A6EEA">
            <w:pPr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руб.</w:t>
            </w:r>
            <w:proofErr w:type="gramEnd"/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8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20 000 000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525 000,00руб.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900 000,00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8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202 020,2</w:t>
            </w:r>
            <w:r w:rsidR="001D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Пестяковского городского поселения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154 000,00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238 300,00руб.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9E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1 274 514,28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 (местные инициативы)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31 700,00руб.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 руб.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A6EEA">
      <w:pPr>
        <w:keepNext/>
        <w:keepLines/>
        <w:numPr>
          <w:ilvl w:val="2"/>
          <w:numId w:val="1"/>
        </w:numPr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основных мероприятий программы</w:t>
      </w:r>
    </w:p>
    <w:p w:rsidR="00603DDE" w:rsidRDefault="006A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выполнение основного мероприятия – «Благоустройство дворовых территорий Пестяковского городского поселения», и «Благоустройство территорий общего пользования Пестяковского городского поселения в рамках которой реализуются мероприятия: </w:t>
      </w:r>
    </w:p>
    <w:p w:rsidR="00603DDE" w:rsidRDefault="006A6EEA">
      <w:pPr>
        <w:pStyle w:val="ac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Приведение в нормативное состояние дворовых территорий Пестяковского городского поселения </w:t>
      </w:r>
    </w:p>
    <w:p w:rsidR="00603DDE" w:rsidRDefault="006A6EEA">
      <w:pPr>
        <w:pStyle w:val="ac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Тупицына, д.6;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Мира, д.15.</w:t>
      </w: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 благоустройству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дворовых территорий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выполнение минимального и /или дополнительного перечня работ.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инимальный 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ремонт дворовых проездов;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освещения дворовых территорий;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скамеек;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урн для мусора.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 детских и (или) спортивных площадок,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 автомобильных парковок,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озеленение дворовых территорий,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устройство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ливнеприёмников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устройство контейнерных площадок (устройство площадок   для сбора и временного хранения отходов с установкой контейнеров, бункеров-накопителей, устройством ограждения и твердого основания).</w:t>
      </w:r>
    </w:p>
    <w:p w:rsidR="00603DDE" w:rsidRDefault="00603DDE">
      <w:pPr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территорий, подлежащих благоустройству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f5"/>
        <w:tblW w:w="9854" w:type="dxa"/>
        <w:tblInd w:w="-108" w:type="dxa"/>
        <w:tblLook w:val="04A0" w:firstRow="1" w:lastRow="0" w:firstColumn="1" w:lastColumn="0" w:noHBand="0" w:noVBand="1"/>
      </w:tblPr>
      <w:tblGrid>
        <w:gridCol w:w="1526"/>
        <w:gridCol w:w="8328"/>
      </w:tblGrid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7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МКД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Тупицына, д.6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Мира, д.15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hd w:val="clear" w:color="auto" w:fill="FFFFFF"/>
        <w:spacing w:after="0" w:line="240" w:lineRule="auto"/>
        <w:ind w:right="1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общественных территорий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Постановлением Администрации Пестяковского муниципального района от 07.11.2017 года № 501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03DDE" w:rsidRDefault="00603DD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 Целевые индикаторы (показатели) программы,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характеризующие мероприятия программы, с расшифровкой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 по годам реализации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в 2018-2025 годах увеличится количество благоустроенных территорий для обеспечения комфортной городской среды в Пестяковском городском поселении на 3 единицы.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сферу содержания дворовых территорий 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индикаторах (показателях)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69" w:type="dxa"/>
        <w:tblInd w:w="-108" w:type="dxa"/>
        <w:tblLook w:val="04A0" w:firstRow="1" w:lastRow="0" w:firstColumn="1" w:lastColumn="0" w:noHBand="0" w:noVBand="1"/>
      </w:tblPr>
      <w:tblGrid>
        <w:gridCol w:w="546"/>
        <w:gridCol w:w="2475"/>
        <w:gridCol w:w="652"/>
        <w:gridCol w:w="697"/>
        <w:gridCol w:w="701"/>
        <w:gridCol w:w="704"/>
        <w:gridCol w:w="702"/>
        <w:gridCol w:w="703"/>
        <w:gridCol w:w="700"/>
        <w:gridCol w:w="697"/>
        <w:gridCol w:w="696"/>
        <w:gridCol w:w="696"/>
      </w:tblGrid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Pr="006A6EEA" w:rsidRDefault="006A6EEA" w:rsidP="006A6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EEA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благоустройство общественных территорий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06" w:type="dxa"/>
        <w:tblInd w:w="-108" w:type="dxa"/>
        <w:tblLook w:val="04A0" w:firstRow="1" w:lastRow="0" w:firstColumn="1" w:lastColumn="0" w:noHBand="0" w:noVBand="1"/>
      </w:tblPr>
      <w:tblGrid>
        <w:gridCol w:w="560"/>
        <w:gridCol w:w="2130"/>
        <w:gridCol w:w="592"/>
        <w:gridCol w:w="696"/>
        <w:gridCol w:w="698"/>
        <w:gridCol w:w="853"/>
        <w:gridCol w:w="714"/>
        <w:gridCol w:w="851"/>
        <w:gridCol w:w="710"/>
        <w:gridCol w:w="710"/>
        <w:gridCol w:w="696"/>
        <w:gridCol w:w="696"/>
      </w:tblGrid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Цель, задачи и ожидаемые результаты реализации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целью муниципальной программы является повышение уровня благоустройства территорий Пестяковского городского поселения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муниципальной программы, направленные на достижение вышеуказанных целей, заключаются в следующем: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уровня благоустройства дворовых территорий Пестяковского городского поселения Пестяковского муниципального района;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благоустройства муниципальных территорий общего пользования Пестяковского городского поселения Пестяковского муниципального района.</w:t>
      </w:r>
    </w:p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Реализация муниципальной программы позволит достичь следующих результатов: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благоустройство 1 территории, прилегающих к многоквартирным жилым домам, в результате количество благоустроенных дворовых территорий в целом по городу составит 26,5%;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благоустройство 1-й муниципальной территории общего пользования;</w:t>
      </w:r>
    </w:p>
    <w:p w:rsidR="00603DDE" w:rsidRDefault="00D82D1C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2018 - 2025</w:t>
      </w:r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муниципальная программа будет реализована в соответствии с решением комиссии, утвержденной </w:t>
      </w:r>
      <w:hyperlink r:id="rId8">
        <w:r w:rsidR="006A6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Пестяковского муниципального района от 07 ноября 2017 года № 497.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управления реализацией 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Исполнителем муниципальной программы является Администрация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Исполнитель программы: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координирует деятельность по реализации подпрограмм, отдельных мероприятий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по запросам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готовит в срок до 31 декабря текущего года годовой отчет о реализации муниципальной программы и представляет его в установленном порядке;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реализацию мероприятий муниципальной программы, отдельных - в рамках своих полномочий;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разрабатывает и согласовывает проект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формирует предложения по внесению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подписывает акты выполненных работ в соответствии с заключенными муниципальными контрактами и договорами.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реализацию программы могут повлиять внешние риски, а именно: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размещении муниципальных заказов согласно Федеральному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Основными финансовыми рисками реализации программы являются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Способами ограничения рисков являются: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внесение изменений в бюджет и муниципальную программу.</w:t>
      </w:r>
    </w:p>
    <w:p w:rsidR="00603DDE" w:rsidRDefault="00603DDE">
      <w:pPr>
        <w:spacing w:after="0" w:line="240" w:lineRule="auto"/>
        <w:jc w:val="both"/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6.Порядок аккумулирования и расходования средств заинтересованных лиц.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бюджета Пестяковского городского поселения, а также средств субсидии на поддержку муниципальных программ формирования современной городской среды.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Пестяковского городского поселения, прилагается (приложение 1 к постановлению).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включения предложений заинтересованных лиц о включении дворовой территории в муниципальную программу.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 включаются в муниципальную программу в соответствии с требованиями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Пестяковского городского поселения Пестяковского муниципального района на 2018-2024 годы», утвержденного Постановлением Администрации Пестяковского муниципального района от 07.11.2017 года № 498 и в пределах лимитов бюджетных обязательств, предусмотренных на реализацию данной программы.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 сформирован по результатам отбора общественной комиссией по проведению комиссионной оценки предложений заинтересованных лиц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среды».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включаемых в муниципальную программу «Формирование современной городской среды» на территории Пестяковского городского поселения Пестяковского му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прилагается (приложение 2 к постановлению).</w:t>
      </w:r>
    </w:p>
    <w:p w:rsidR="00603DDE" w:rsidRDefault="00603DDE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прилагается (приложение 3 к постановлению).</w:t>
      </w: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B946E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64"/>
      <w:bookmarkEnd w:id="1"/>
    </w:p>
    <w:p w:rsidR="00603DDE" w:rsidRDefault="00603DDE">
      <w:pPr>
        <w:spacing w:after="1"/>
        <w:rPr>
          <w:rFonts w:ascii="Times New Roman" w:eastAsia="Calibri" w:hAnsi="Times New Roman" w:cs="Times New Roman"/>
          <w:sz w:val="24"/>
          <w:szCs w:val="24"/>
        </w:rPr>
      </w:pP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подпрограммы 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муниципальных дворовых территорий Пестяковского городского поселения Пестяковского муниципального района"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2018 - 2025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1)увеличение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- 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0,00руб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дворовых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дворовых территорий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D82D1C" w:rsidRDefault="00D82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площадь Ленина </w:t>
      </w:r>
    </w:p>
    <w:p w:rsidR="00603DDE" w:rsidRDefault="006A6EEA" w:rsidP="00D82D1C">
      <w:pPr>
        <w:shd w:val="clear" w:color="auto" w:fill="FFFFFF"/>
        <w:tabs>
          <w:tab w:val="left" w:pos="0"/>
        </w:tabs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благоустройству 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асфальтное покрытие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индикаторах (показателях)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886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52"/>
        <w:gridCol w:w="2058"/>
        <w:gridCol w:w="563"/>
        <w:gridCol w:w="680"/>
        <w:gridCol w:w="681"/>
        <w:gridCol w:w="680"/>
        <w:gridCol w:w="746"/>
        <w:gridCol w:w="777"/>
        <w:gridCol w:w="709"/>
        <w:gridCol w:w="708"/>
        <w:gridCol w:w="709"/>
      </w:tblGrid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81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6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7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населения благоустроенными дворовыми территориями (доля населения, проживающего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ook w:val="01E0" w:firstRow="1" w:lastRow="1" w:firstColumn="1" w:lastColumn="1" w:noHBand="0" w:noVBand="0"/>
      </w:tblPr>
      <w:tblGrid>
        <w:gridCol w:w="576"/>
        <w:gridCol w:w="2996"/>
        <w:gridCol w:w="855"/>
        <w:gridCol w:w="819"/>
        <w:gridCol w:w="818"/>
        <w:gridCol w:w="798"/>
        <w:gridCol w:w="837"/>
        <w:gridCol w:w="767"/>
        <w:gridCol w:w="759"/>
        <w:gridCol w:w="741"/>
      </w:tblGrid>
      <w:tr w:rsidR="00B946EC" w:rsidTr="00B946EC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9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2025г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Пестяковского городского поселения»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дворовых территорий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03DDE" w:rsidRDefault="00603DDE">
      <w:pPr>
        <w:sectPr w:rsidR="00603DDE">
          <w:headerReference w:type="default" r:id="rId10"/>
          <w:footerReference w:type="default" r:id="rId11"/>
          <w:pgSz w:w="11906" w:h="16838"/>
          <w:pgMar w:top="978" w:right="560" w:bottom="689" w:left="1701" w:header="426" w:footer="137" w:gutter="0"/>
          <w:cols w:space="720"/>
          <w:formProt w:val="0"/>
          <w:docGrid w:linePitch="360" w:charSpace="4096"/>
        </w:sect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на 2018-2024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подпрограммы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муниципальной территории общего пользования Пестяковского городского поселения Пестяковского муниципального района»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824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</w:t>
            </w:r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21 223 285,48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20 000 000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202 020,20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021 265,28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 w:rsidP="00B946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-  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общего пользования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общего пользования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территорий общего пользования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Адресный перечень  территорий общего пользования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утвержденного Постановлением Администрации Пестяковского муниципального района от 07.11.2017 года № 501.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- обустройство парка отдыха.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«В 2023 году планируется провести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общественной территории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озеро.</w:t>
      </w:r>
    </w:p>
    <w:p w:rsidR="00F36B68" w:rsidRDefault="00F36B68" w:rsidP="00F36B68">
      <w:pPr>
        <w:widowControl w:val="0"/>
        <w:shd w:val="clear" w:color="auto" w:fill="FFFFFF"/>
        <w:spacing w:after="0" w:line="240" w:lineRule="auto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обеспечения благоустройства данной общественной территорий требуется   проведение следующих мероприятий: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озеленение, уход за зелеными насаждениями;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малыми архитектурными формами, садово-парковой мебелью;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устройство пешеходных дорожек;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освещение территорий;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скамеек и урн;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деревянных настилов над водной гладью.</w:t>
      </w:r>
    </w:p>
    <w:p w:rsidR="00F36B68" w:rsidRDefault="00F36B68" w:rsidP="00F36B68">
      <w:pPr>
        <w:widowControl w:val="0"/>
        <w:shd w:val="clear" w:color="auto" w:fill="FFFFFF"/>
        <w:tabs>
          <w:tab w:val="left" w:pos="26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данных мероприятий, предусмотренных Программой, создаст условия для придания внешнему виду поселка состояния благоустроенности и привлекательности.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территории являются востребованной гражданами разных возрастных категорий,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 и проведения досуга».</w:t>
      </w:r>
    </w:p>
    <w:p w:rsidR="00F36B68" w:rsidRDefault="00F36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индикаторов (показателей)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Style w:val="af5"/>
        <w:tblW w:w="9962" w:type="dxa"/>
        <w:tblInd w:w="-108" w:type="dxa"/>
        <w:tblLook w:val="04A0" w:firstRow="1" w:lastRow="0" w:firstColumn="1" w:lastColumn="0" w:noHBand="0" w:noVBand="1"/>
      </w:tblPr>
      <w:tblGrid>
        <w:gridCol w:w="548"/>
        <w:gridCol w:w="2121"/>
        <w:gridCol w:w="650"/>
        <w:gridCol w:w="699"/>
        <w:gridCol w:w="771"/>
        <w:gridCol w:w="775"/>
        <w:gridCol w:w="769"/>
        <w:gridCol w:w="772"/>
        <w:gridCol w:w="769"/>
        <w:gridCol w:w="696"/>
        <w:gridCol w:w="696"/>
        <w:gridCol w:w="696"/>
      </w:tblGrid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ayout w:type="fixed"/>
        <w:tblLook w:val="01E0" w:firstRow="1" w:lastRow="1" w:firstColumn="1" w:lastColumn="1" w:noHBand="0" w:noVBand="0"/>
      </w:tblPr>
      <w:tblGrid>
        <w:gridCol w:w="578"/>
        <w:gridCol w:w="2896"/>
        <w:gridCol w:w="708"/>
        <w:gridCol w:w="709"/>
        <w:gridCol w:w="851"/>
        <w:gridCol w:w="850"/>
        <w:gridCol w:w="567"/>
        <w:gridCol w:w="1418"/>
        <w:gridCol w:w="708"/>
        <w:gridCol w:w="673"/>
      </w:tblGrid>
      <w:tr w:rsidR="007F4C63" w:rsidTr="00105DFB">
        <w:trPr>
          <w:trHeight w:val="9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  <w:p w:rsidR="00F22982" w:rsidRDefault="007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F4C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  <w:p w:rsidR="00F22982" w:rsidRPr="007F4C63" w:rsidRDefault="007F4C63" w:rsidP="007F4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EC5248"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 Пестяковского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территорий общего пользования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7F4C63" w:rsidRDefault="00CE27C9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документации, экспертиза, строительный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CE27C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1 010 632,64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CE27C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1 010 632,64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CE27C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1 010 632,64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27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603DDE" w:rsidRDefault="00603DDE" w:rsidP="00105DF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46EC" w:rsidRDefault="00B946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«_____»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ноября  2021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</w:t>
      </w:r>
    </w:p>
    <w:p w:rsidR="00603DDE" w:rsidRDefault="006A6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благоустройству дворовых территорий Пестяковского городского поселения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03DDE" w:rsidRDefault="006A6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- Порядок, программа),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 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 </w:t>
      </w:r>
    </w:p>
    <w:p w:rsidR="00603DDE" w:rsidRDefault="006A6EEA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формах трудового и финансового участия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1% от общей стоимости соответствующего вида работ.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благоприятных условий для работы подрядной организации, выполняющей работы и для ее работников.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Pr="00B946EC" w:rsidRDefault="006A6EEA">
      <w:pPr>
        <w:numPr>
          <w:ilvl w:val="0"/>
          <w:numId w:val="5"/>
        </w:numPr>
        <w:tabs>
          <w:tab w:val="left" w:pos="284"/>
          <w:tab w:val="left" w:pos="156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аккумулирования и расходования средств</w:t>
      </w:r>
    </w:p>
    <w:p w:rsidR="00603DDE" w:rsidRPr="00B946EC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– Администрации Пестяковского муниципального района (далее - Администрация).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перечисления денежных средств. Объем денежных средств определяется сметным расчетом по благоустройству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Перечисление денежных средств управляющей организацией осуществляется до начала работ по благоустройству дворовой территории. Ответственность за неисполнение указанного обязательства определяется в заключенном соглашении.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ежемесячное опубликование на официальном сайте органа местного самоуправления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 Администрация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включенной в дизайн-проект благоустройства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03DDE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соблюдением условий Порядка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Контроль за целевым расходованием аккумулированных денежных средств управляющих организаций осуществляется Администрацией в соответствии с бюджетным законодательством.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обеспечивает возврат управляющим организациям аккумулированных денежных средств в срок до 31 декабря текущего года при условии: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Экономии денежных средств, по итогам проведения конкурсных процедур.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Не исполнения работ по благоустройству дворовой территории многоквартирного дома по вине подрядной организации.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 предоставления управляющими организациями доступа к проведению благоустройства на дворовой территории.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Возникновения обстоятельств непреодолимой силы.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4.2.5.Возникновения иных случаев, предусмотренных действующим законодательством.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9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Общие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положения</w:t>
      </w:r>
      <w:proofErr w:type="spellEnd"/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Настоящий Порядок регламентирует процедуру разработки, обсуждения с заинтересованными лицами и утверждения дизайн-проекта благоустройства дворовой территории, включенной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– Порядок).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Под дизайн-проектом понимается визуальный графический и текстовый материал, с планировочной схемой, с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Разработка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дизайн-проекта</w:t>
      </w:r>
      <w:proofErr w:type="spellEnd"/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дизайн-проекта осуществляется Администрацией Пестяковского муниципального района (далее-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45 календарных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Обсуждение, согласование и утверждение дизайн-проекта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представителя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дизайн-проекта в течение 1 рабочего дня со дня его изготовления.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обсуждения дизайн-проект размещается на официальном сайте Пестяковского муниципального района с указанием конкретного срока окончания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замечаний и предложений на срок заинтересованных лиц на срок не менее 5 календарных дней со дня окончания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в пункте 3.2 настоящего Порядка.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Представитель заинтересованных лиц согласовывает дизайн-проект благоустройства дворовой территории многоквартирного дома в срок, не превышающий 3 рабочих дня.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Согласование дизайн-проекта благоустройства дворовой территории многоквартирного дома осуществляется Администрацией в течение 3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Утверждение дизайн-проекта благоустройства дворовой территории многоквартирного дома осуществляется Администрацией Пестяковского муниципального района в течение 3 рабочих дней со дня получения положительного заключения государственной экспертизы.</w:t>
      </w:r>
      <w:bookmarkStart w:id="3" w:name="Par46"/>
      <w:bookmarkEnd w:id="3"/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и форма участия 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 муниципального района.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финансовое участие, представляются в Администрацию Пестяковского муниципального района не позднее 2 дней со дня перечисления денежных средств в установленном порядке.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Документы, подтверждающие трудовое участие, представляются в Администрацию Пестяковского муниципального района не позднее 10 календарных дней со дня окончания работ, выполняемых заинтересованными лицами. 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36B6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 муниципальных территорий в рамках поддержки местных инициатив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603DDE" w:rsidRDefault="00603DDE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1.Паспорт подпрограммы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9746" w:type="dxa"/>
        <w:tblInd w:w="1" w:type="dxa"/>
        <w:tblLook w:val="04A0" w:firstRow="1" w:lastRow="0" w:firstColumn="1" w:lastColumn="0" w:noHBand="0" w:noVBand="1"/>
      </w:tblPr>
      <w:tblGrid>
        <w:gridCol w:w="2780"/>
        <w:gridCol w:w="6966"/>
      </w:tblGrid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Благоустройство муниципальных территорий в рамках поддержки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626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6A6EEA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Пестяковского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Пестяковского муниципального района </w:t>
            </w:r>
          </w:p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rPr>
          <w:trHeight w:val="111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цели)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благоустройства территории Пестяковского городского поселения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Повышения уровня благоустройства дворовый территорий Пестяковского городского поселения.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муниципальных территорий общего пользования Пестяковского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поселения.                          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Принятие правил благоустройства территорий Пестяковского 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–1 170 000,00руб.;</w:t>
            </w:r>
          </w:p>
          <w:p w:rsidR="00603DDE" w:rsidRDefault="009E6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253 249,00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03DDE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525 000,00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900 000,00 руб.;</w:t>
            </w:r>
          </w:p>
          <w:p w:rsidR="00603DDE" w:rsidRDefault="007F4C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</w:t>
            </w:r>
            <w:r w:rsidR="00BA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525 000,00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154 000,00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238 300,00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9E67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253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249,00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626E6" w:rsidRDefault="00662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21 000,00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 руб.</w:t>
            </w:r>
          </w:p>
          <w:p w:rsidR="006626E6" w:rsidRDefault="00662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0,00руб;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0,00руб.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благоустроенных территорий для обеспечение комфортной городской среды Пестяковского городского поселения</w:t>
            </w:r>
          </w:p>
        </w:tc>
      </w:tr>
    </w:tbl>
    <w:p w:rsidR="00603DDE" w:rsidRDefault="006A6EEA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3DDE" w:rsidRDefault="006A6EEA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основных мероприятий подпрограммы</w:t>
      </w:r>
    </w:p>
    <w:p w:rsidR="00603DDE" w:rsidRDefault="006A6E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Подпрограмма предусматривает выполнение основных мероприятий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территорий в рамках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», в 2021 году реализовано мероприятие по установке спортивной площадки на стадионе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п.Пестяки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(территории, ограниченной улицами Фурманова, Северная, Стадионная)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2022 году реализовано мероприятие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лагоустройству больничной территории (с</w:t>
      </w:r>
      <w:r w:rsidR="006626E6">
        <w:rPr>
          <w:rFonts w:ascii="Times New Roman" w:hAnsi="Times New Roman"/>
          <w:color w:val="000000"/>
          <w:sz w:val="28"/>
          <w:szCs w:val="28"/>
        </w:rPr>
        <w:t xml:space="preserve">основой аллеи и березовой рощи) в 2023году приобретение и установка спортивного комплекса по адресу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п.Пестяки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ул.Гагарина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дом 37.</w:t>
      </w:r>
    </w:p>
    <w:p w:rsidR="00603DDE" w:rsidRDefault="006A6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03DDE" w:rsidRDefault="006A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Целевые индикаторы (показатели) подпрограммы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Благоустройство территорий в рамках поддержки местных инициатив.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Реализация мероприятия предусматривает выполнение работ по благоустройству территорий Пестяковского городского поселения, связанных с содержанием территорий, размещением объектов благоустройства в рамках проектов благоустройства. 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Под проектом благоустройства понимается признанный решением инициативной группы граждан, территориального общественного самоуправления (далее- заинтересованные лица) приоритетным комплекс предусмотренных Правилами благоустройства Пестяковского городского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территорий в рамках поддержки 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 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   к Программе.</w:t>
      </w:r>
    </w:p>
    <w:p w:rsidR="00603DDE" w:rsidRDefault="006A6EE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4.Ресурсное обеспечение программы   </w:t>
      </w:r>
    </w:p>
    <w:p w:rsidR="00603DDE" w:rsidRDefault="006A6EEA">
      <w:pPr>
        <w:shd w:val="clear" w:color="auto" w:fill="FFFFFF"/>
        <w:ind w:right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DDE" w:rsidRDefault="006A6EEA">
      <w:pPr>
        <w:pStyle w:val="a8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руб.</w:t>
      </w:r>
    </w:p>
    <w:tbl>
      <w:tblPr>
        <w:tblW w:w="10135" w:type="dxa"/>
        <w:tblInd w:w="-153" w:type="dxa"/>
        <w:tblLook w:val="0000" w:firstRow="0" w:lastRow="0" w:firstColumn="0" w:lastColumn="0" w:noHBand="0" w:noVBand="0"/>
      </w:tblPr>
      <w:tblGrid>
        <w:gridCol w:w="568"/>
        <w:gridCol w:w="2020"/>
        <w:gridCol w:w="656"/>
        <w:gridCol w:w="703"/>
        <w:gridCol w:w="709"/>
        <w:gridCol w:w="1134"/>
        <w:gridCol w:w="1271"/>
        <w:gridCol w:w="1422"/>
        <w:gridCol w:w="865"/>
        <w:gridCol w:w="787"/>
      </w:tblGrid>
      <w:tr w:rsidR="003D2521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отдельного мероприятия/ источник финансирования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</w:p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Программа, </w:t>
            </w:r>
            <w:r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E6750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253 249,00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E6750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9E6750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253 249,00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9E6750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F3189A" w:rsidP="00F3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BA6C7E"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  <w:p w:rsidR="003D2521" w:rsidRDefault="003D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F3189A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253 490,00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DE" w:rsidRDefault="00BA6C7E">
      <w:pPr>
        <w:pStyle w:val="af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6EEA">
        <w:rPr>
          <w:rFonts w:ascii="Times New Roman" w:hAnsi="Times New Roman" w:cs="Times New Roman"/>
          <w:b/>
          <w:sz w:val="28"/>
          <w:szCs w:val="28"/>
        </w:rPr>
        <w:t>. Перечень проектов благоустройства территорий Пестяковского городского поселения в рамках поддержки местных инициатив</w:t>
      </w:r>
    </w:p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1" w:type="dxa"/>
        <w:tblLook w:val="0000" w:firstRow="0" w:lastRow="0" w:firstColumn="0" w:lastColumn="0" w:noHBand="0" w:noVBand="0"/>
      </w:tblPr>
      <w:tblGrid>
        <w:gridCol w:w="851"/>
        <w:gridCol w:w="6816"/>
        <w:gridCol w:w="2173"/>
      </w:tblGrid>
      <w:tr w:rsidR="00603DDE" w:rsidTr="0040646E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благоустройства (год)</w:t>
            </w:r>
          </w:p>
        </w:tc>
      </w:tr>
      <w:tr w:rsidR="00603DDE" w:rsidTr="0040646E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на стадионе п. Пестяки на</w:t>
            </w:r>
          </w:p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(территории ограниченной улицами Фурманова, Северная, Стадионная)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603DDE" w:rsidTr="00BA6C7E">
        <w:trPr>
          <w:trHeight w:val="49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Default="00BA6C7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больничной территории (сосновой аллеи и березовой рощи)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BA6C7E" w:rsidTr="00BA6C7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Default="00BA6C7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Pr="00BA6C7E" w:rsidRDefault="00F3189A" w:rsidP="00BA6C7E">
            <w:pPr>
              <w:spacing w:line="228" w:lineRule="auto"/>
              <w:ind w:right="-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территорий Площадь Ленина п. Пестяки Ивановской области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BA6C7E" w:rsidRDefault="00BA6C7E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2023</w:t>
            </w:r>
          </w:p>
        </w:tc>
      </w:tr>
    </w:tbl>
    <w:p w:rsidR="00603DDE" w:rsidRDefault="00603DDE">
      <w:pPr>
        <w:tabs>
          <w:tab w:val="left" w:pos="3620"/>
          <w:tab w:val="left" w:pos="6255"/>
        </w:tabs>
        <w:rPr>
          <w:rFonts w:ascii="Times New Roman" w:hAnsi="Times New Roman" w:cs="Times New Roman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Приложение 1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</w:p>
    <w:p w:rsidR="00603DDE" w:rsidRDefault="006A6EEA" w:rsidP="00F3189A">
      <w:pPr>
        <w:spacing w:after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городского поселения</w:t>
      </w:r>
      <w:r>
        <w:t>»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Порядок 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 дворовых территорий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Пестяковского</w:t>
      </w:r>
      <w:r>
        <w:rPr>
          <w:sz w:val="28"/>
          <w:szCs w:val="28"/>
        </w:rPr>
        <w:t xml:space="preserve"> городско</w:t>
      </w:r>
      <w:r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 xml:space="preserve">естяковского </w:t>
      </w:r>
      <w:r>
        <w:rPr>
          <w:sz w:val="28"/>
          <w:szCs w:val="28"/>
        </w:rPr>
        <w:t>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</w:rPr>
        <w:t>администра</w:t>
      </w:r>
      <w:r>
        <w:rPr>
          <w:sz w:val="28"/>
          <w:szCs w:val="28"/>
          <w:lang w:val="ru-RU"/>
        </w:rPr>
        <w:t>ция</w:t>
      </w:r>
      <w:r>
        <w:rPr>
          <w:sz w:val="28"/>
          <w:szCs w:val="28"/>
        </w:rPr>
        <w:t xml:space="preserve"> Пестяковс</w:t>
      </w:r>
      <w:r>
        <w:rPr>
          <w:sz w:val="28"/>
          <w:szCs w:val="28"/>
          <w:lang w:val="ru-RU"/>
        </w:rPr>
        <w:t>кого</w:t>
      </w:r>
      <w:r>
        <w:rPr>
          <w:sz w:val="28"/>
          <w:szCs w:val="28"/>
        </w:rPr>
        <w:t xml:space="preserve">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— Администрации Пестяковского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</w:t>
      </w:r>
      <w:r>
        <w:rPr>
          <w:sz w:val="28"/>
          <w:szCs w:val="28"/>
        </w:rPr>
        <w:lastRenderedPageBreak/>
        <w:t>управление многоквартирным домом (далее-управляющая организация),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Перечисление денежных средств заинтересованных лиц производится организацией, осуществляющей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</w:t>
      </w:r>
      <w:r>
        <w:rPr>
          <w:sz w:val="28"/>
          <w:szCs w:val="28"/>
          <w:lang w:val="ru-RU"/>
        </w:rPr>
        <w:t>Администрацией Пестяковского муниципального района</w:t>
      </w:r>
      <w:r>
        <w:rPr>
          <w:sz w:val="28"/>
          <w:szCs w:val="28"/>
        </w:rPr>
        <w:t xml:space="preserve"> в УФК по Ивановской области.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</w:t>
      </w:r>
      <w:r>
        <w:rPr>
          <w:sz w:val="28"/>
          <w:szCs w:val="28"/>
          <w:lang w:val="ru-RU"/>
        </w:rPr>
        <w:t>дминистрации Пестяковского муниципального района</w:t>
      </w:r>
      <w:r>
        <w:rPr>
          <w:sz w:val="28"/>
          <w:szCs w:val="28"/>
        </w:rPr>
        <w:t xml:space="preserve">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 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учет поступающих от организации, осуществляющей управление многоквартирными домами, денежных средств в разрезе </w:t>
      </w:r>
      <w:proofErr w:type="gramStart"/>
      <w:r>
        <w:rPr>
          <w:sz w:val="28"/>
          <w:szCs w:val="28"/>
        </w:rPr>
        <w:t>многоквартирных  домов</w:t>
      </w:r>
      <w:proofErr w:type="gramEnd"/>
      <w:r>
        <w:rPr>
          <w:sz w:val="28"/>
          <w:szCs w:val="28"/>
        </w:rPr>
        <w:t xml:space="preserve">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ежемесячно: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обеспечивает опубликование на официальном сайте </w:t>
      </w:r>
      <w:r>
        <w:rPr>
          <w:sz w:val="28"/>
          <w:szCs w:val="28"/>
          <w:lang w:val="ru-RU"/>
        </w:rPr>
        <w:t>администрации Пестяковского муниципального района</w:t>
      </w:r>
      <w:r>
        <w:rPr>
          <w:sz w:val="28"/>
          <w:szCs w:val="28"/>
        </w:rPr>
        <w:t xml:space="preserve"> сведений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направляет сведения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 аккумулированных денежных средств осуществляется </w:t>
      </w:r>
      <w:r>
        <w:rPr>
          <w:sz w:val="28"/>
          <w:szCs w:val="28"/>
          <w:lang w:val="ru-RU"/>
        </w:rPr>
        <w:t>Администрацией</w:t>
      </w:r>
      <w:r>
        <w:rPr>
          <w:sz w:val="28"/>
          <w:szCs w:val="28"/>
        </w:rPr>
        <w:t xml:space="preserve"> на: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</w:t>
      </w:r>
      <w:r>
        <w:rPr>
          <w:sz w:val="28"/>
          <w:szCs w:val="28"/>
          <w:lang w:val="ru-RU"/>
        </w:rPr>
        <w:t>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аккумулированных денежных средств осуществляется в соответствии с условиями заключенных соглашений с организацией, осуществляющей управление многоквартирными домами, дизайн-проектами и </w:t>
      </w:r>
      <w:r>
        <w:rPr>
          <w:sz w:val="28"/>
          <w:szCs w:val="28"/>
        </w:rPr>
        <w:lastRenderedPageBreak/>
        <w:t>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возврат аккумулированных денежных средств, неиспользованных в отчетном финансовом году, организацией, осуществляющей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непредставления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возникновения обстоятельств непреодолимой силы</w:t>
      </w: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городского поселения</w:t>
      </w:r>
      <w:r>
        <w:t xml:space="preserve">»   </w:t>
      </w: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Порядок и форма участия (трудовое и (или) финансовое)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заинтересованных лиц в выполнении дополнительного перечня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работ по благоустройству дворовых территорий 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</w:t>
      </w:r>
      <w:r>
        <w:rPr>
          <w:sz w:val="28"/>
          <w:szCs w:val="28"/>
        </w:rPr>
        <w:lastRenderedPageBreak/>
        <w:t xml:space="preserve">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района.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Документы, подтверждающие финансовое участие, представляются в </w:t>
      </w:r>
      <w:r>
        <w:rPr>
          <w:sz w:val="28"/>
          <w:szCs w:val="28"/>
          <w:lang w:val="ru-RU"/>
        </w:rPr>
        <w:t>администрацию Пестяковского муниципального района</w:t>
      </w:r>
      <w:r>
        <w:rPr>
          <w:sz w:val="28"/>
          <w:szCs w:val="28"/>
        </w:rPr>
        <w:t xml:space="preserve"> не позднее 7 дней со дня перечисления денежных средств в установленном порядке.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 Документы, подтверждающие трудовое участие, представляются в </w:t>
      </w:r>
      <w:r>
        <w:rPr>
          <w:sz w:val="28"/>
          <w:szCs w:val="28"/>
          <w:lang w:val="ru-RU"/>
        </w:rPr>
        <w:t>Администрацию</w:t>
      </w:r>
      <w:r>
        <w:rPr>
          <w:sz w:val="28"/>
          <w:szCs w:val="28"/>
        </w:rPr>
        <w:t xml:space="preserve"> не позднее 7 календарных дней со дня окончания работ, выполняемых заинтересованными лицами. 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jc w:val="center"/>
        <w:rPr>
          <w:sz w:val="28"/>
          <w:szCs w:val="28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\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</w:t>
      </w:r>
    </w:p>
    <w:p w:rsidR="00603DDE" w:rsidRDefault="00603DDE">
      <w:pPr>
        <w:jc w:val="center"/>
        <w:rPr>
          <w:b/>
          <w:bCs/>
          <w:sz w:val="28"/>
          <w:szCs w:val="28"/>
        </w:rPr>
      </w:pP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(далее  - Порядок).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понятия:</w:t>
      </w:r>
    </w:p>
    <w:p w:rsidR="00603DDE" w:rsidRDefault="006A6EEA">
      <w:pPr>
        <w:pStyle w:val="af1"/>
        <w:spacing w:before="0" w:after="0"/>
        <w:ind w:firstLine="709"/>
        <w:jc w:val="both"/>
        <w:rPr>
          <w:lang w:eastAsia="ru-RU"/>
        </w:rPr>
      </w:pPr>
      <w:r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03DDE" w:rsidRDefault="006A6EEA">
      <w:pPr>
        <w:pStyle w:val="ConsPlusNormal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заинтересованные лица - собственники помещений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дизайн-проекта обеспечивается Администрацией Пестяковского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Дизайн-проект разрабатывается в отношении дворовых территорий,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  отбор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исходя из даты представления предложений заинтересованных лиц в пределах выделенных лимитов бюджетных ассигнований.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В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включается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дизайн-проекта зависит от вида и состава планируемых работ.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подготовлен в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 Разработка дизайн-проекта включает следующие стадии: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разработка дизайн-проекта;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согласование дизайн-проекта благоустройства дворовой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6.4. утверждение дизайн-проекта общественной муниципальной комиссией.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 и представить в Администрацию согласованный дизайн-проект или мотивированные замечания.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не урегулирования замечаний, Администрация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603DDE" w:rsidRDefault="006A6E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DE" w:rsidRDefault="00603DDE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Default"/>
        <w:jc w:val="center"/>
        <w:rPr>
          <w:b/>
          <w:u w:val="single"/>
        </w:rPr>
      </w:pPr>
    </w:p>
    <w:p w:rsidR="00603DDE" w:rsidRDefault="006A6EEA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A6EEA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пространственной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лиц, направляемых на выполнение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территорий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поддержки местных инициатив</w:t>
      </w:r>
    </w:p>
    <w:p w:rsidR="00603DDE" w:rsidRDefault="00603DDE">
      <w:pPr>
        <w:jc w:val="center"/>
        <w:rPr>
          <w:b/>
          <w:sz w:val="28"/>
          <w:szCs w:val="28"/>
        </w:rPr>
      </w:pP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Аккумулирование средств, поступающих от заинтересованных лиц и иных источников финансирования, осуществляется администрацией Пестяковского муниципального района как главного администратора доходов бюджета Пестяковского городского поселения на счете доходов, по коду администратора 015 20705030130000150 «Поступление от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пожертвований, предоставляемых физическими лицами получателям средств бюджетов городских поселений», с разбивкой в разрезе проектов, заявки по которым прошли конкурсный отбор.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собранные в виде пожертвования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рамках муниципальной программы Пестяковского городского поселения «Формирование современной городской среды на территории Пестяковского городского поселения», поступающие на счет администрации Пестяковского муниципального района, имеют статус безвозмездных поступлений, и оформляются договорами пожертвования с определением их целевого использования.</w:t>
      </w:r>
    </w:p>
    <w:p w:rsidR="00603DDE" w:rsidRDefault="006A6EEA" w:rsidP="00B946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603DDE" w:rsidRDefault="00603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DE" w:rsidRDefault="00603DDE">
      <w:pPr>
        <w:rPr>
          <w:rFonts w:ascii="Times New Roman" w:eastAsia="Times New Roman" w:hAnsi="Times New Roman" w:cs="Times New Roman"/>
          <w:lang w:eastAsia="ru-RU"/>
        </w:rPr>
      </w:pPr>
    </w:p>
    <w:sectPr w:rsidR="00603DDE">
      <w:headerReference w:type="default" r:id="rId12"/>
      <w:footerReference w:type="default" r:id="rId13"/>
      <w:pgSz w:w="11906" w:h="16838"/>
      <w:pgMar w:top="568" w:right="567" w:bottom="56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B6" w:rsidRDefault="003E5DB6">
      <w:pPr>
        <w:spacing w:after="0" w:line="240" w:lineRule="auto"/>
      </w:pPr>
      <w:r>
        <w:separator/>
      </w:r>
    </w:p>
  </w:endnote>
  <w:endnote w:type="continuationSeparator" w:id="0">
    <w:p w:rsidR="003E5DB6" w:rsidRDefault="003E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B6" w:rsidRDefault="003E5DB6">
      <w:pPr>
        <w:spacing w:after="0" w:line="240" w:lineRule="auto"/>
      </w:pPr>
      <w:r>
        <w:separator/>
      </w:r>
    </w:p>
  </w:footnote>
  <w:footnote w:type="continuationSeparator" w:id="0">
    <w:p w:rsidR="003E5DB6" w:rsidRDefault="003E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50" w:rsidRDefault="009E67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889"/>
    <w:multiLevelType w:val="multilevel"/>
    <w:tmpl w:val="60AC32B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74A"/>
    <w:multiLevelType w:val="multilevel"/>
    <w:tmpl w:val="410A6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734F"/>
    <w:multiLevelType w:val="multilevel"/>
    <w:tmpl w:val="E2383E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3">
    <w:nsid w:val="37F03E04"/>
    <w:multiLevelType w:val="multilevel"/>
    <w:tmpl w:val="C96A9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4">
    <w:nsid w:val="38AF61B5"/>
    <w:multiLevelType w:val="multilevel"/>
    <w:tmpl w:val="48C62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AAB5F02"/>
    <w:multiLevelType w:val="multilevel"/>
    <w:tmpl w:val="514C4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1DED"/>
    <w:multiLevelType w:val="multilevel"/>
    <w:tmpl w:val="6BA64D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8D799C"/>
    <w:multiLevelType w:val="multilevel"/>
    <w:tmpl w:val="30E2A2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43BEF"/>
    <w:multiLevelType w:val="multilevel"/>
    <w:tmpl w:val="1F5E99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DE"/>
    <w:rsid w:val="00105DFB"/>
    <w:rsid w:val="001D4F1B"/>
    <w:rsid w:val="0030670A"/>
    <w:rsid w:val="0031522C"/>
    <w:rsid w:val="003D2521"/>
    <w:rsid w:val="003E5DB6"/>
    <w:rsid w:val="0040646E"/>
    <w:rsid w:val="00603DDE"/>
    <w:rsid w:val="006626E6"/>
    <w:rsid w:val="00662D92"/>
    <w:rsid w:val="006A6EEA"/>
    <w:rsid w:val="0073110C"/>
    <w:rsid w:val="007B4D1E"/>
    <w:rsid w:val="007F4C63"/>
    <w:rsid w:val="00824A4D"/>
    <w:rsid w:val="009451D2"/>
    <w:rsid w:val="009609C2"/>
    <w:rsid w:val="009E6750"/>
    <w:rsid w:val="009E6D9F"/>
    <w:rsid w:val="00A14404"/>
    <w:rsid w:val="00A86CCD"/>
    <w:rsid w:val="00B946EC"/>
    <w:rsid w:val="00BA6C7E"/>
    <w:rsid w:val="00BB60EE"/>
    <w:rsid w:val="00C01FB5"/>
    <w:rsid w:val="00CE27C9"/>
    <w:rsid w:val="00D5375F"/>
    <w:rsid w:val="00D82D1C"/>
    <w:rsid w:val="00E81A53"/>
    <w:rsid w:val="00EC5248"/>
    <w:rsid w:val="00F22982"/>
    <w:rsid w:val="00F3189A"/>
    <w:rsid w:val="00F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240E-AC41-458D-9DF0-BF04C12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418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8418C"/>
  </w:style>
  <w:style w:type="character" w:customStyle="1" w:styleId="a5">
    <w:name w:val="Нижний колонтитул Знак"/>
    <w:basedOn w:val="a0"/>
    <w:uiPriority w:val="99"/>
    <w:qFormat/>
    <w:rsid w:val="0068418C"/>
  </w:style>
  <w:style w:type="character" w:customStyle="1" w:styleId="a6">
    <w:name w:val="Основной текст Знак"/>
    <w:basedOn w:val="a0"/>
    <w:qFormat/>
    <w:rsid w:val="0068418C"/>
    <w:rPr>
      <w:rFonts w:ascii="Arial" w:eastAsia="Times New Roman" w:hAnsi="Arial" w:cs="Arial"/>
      <w:spacing w:val="6"/>
      <w:sz w:val="28"/>
      <w:szCs w:val="28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8418C"/>
    <w:pPr>
      <w:suppressAutoHyphens/>
      <w:spacing w:after="0" w:line="240" w:lineRule="auto"/>
      <w:jc w:val="both"/>
    </w:pPr>
    <w:rPr>
      <w:rFonts w:ascii="Arial" w:eastAsia="Times New Roman" w:hAnsi="Arial" w:cs="Arial"/>
      <w:spacing w:val="6"/>
      <w:sz w:val="28"/>
      <w:szCs w:val="28"/>
      <w:lang w:eastAsia="zh-CN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68418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841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68418C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styleId="af1">
    <w:name w:val="Normal (Web)"/>
    <w:basedOn w:val="a"/>
    <w:qFormat/>
    <w:rsid w:val="0068418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qFormat/>
    <w:rsid w:val="006841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Default">
    <w:name w:val="Default"/>
    <w:qFormat/>
    <w:rsid w:val="0068418C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3">
    <w:name w:val="No Spacing"/>
    <w:basedOn w:val="a"/>
    <w:qFormat/>
    <w:rsid w:val="0068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68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59BF3612E610B6E8CD6085396A0FD90F821F9DE0BA831110688034C36652BE8E743F548008AFD5CFF1B9DB7F03B57BN9hB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2A0E1CBA4FB46B7DE290586626720B08DFA5E14E66114D01615821A21AF57B8DF4C67503FA46A792F933153O3h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8B2A-55C1-419A-93F8-AD061E33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31</Pages>
  <Words>9415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dc:description/>
  <cp:lastModifiedBy>МЫСКОВА</cp:lastModifiedBy>
  <cp:revision>49</cp:revision>
  <cp:lastPrinted>2022-12-14T08:49:00Z</cp:lastPrinted>
  <dcterms:created xsi:type="dcterms:W3CDTF">2021-11-10T11:48:00Z</dcterms:created>
  <dcterms:modified xsi:type="dcterms:W3CDTF">2023-02-14T13:47:00Z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