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6F" w:rsidRPr="00AE1BED" w:rsidRDefault="000C0A6F" w:rsidP="000C0A6F">
      <w:pPr>
        <w:ind w:left="6663" w:hanging="6663"/>
        <w:jc w:val="center"/>
        <w:rPr>
          <w:rFonts w:ascii="Times New Roman" w:hAnsi="Times New Roman"/>
          <w:sz w:val="32"/>
          <w:szCs w:val="32"/>
        </w:rPr>
      </w:pPr>
      <w:r w:rsidRPr="00AE1BED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ED05312" wp14:editId="490FC536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A6F" w:rsidRPr="00AE1BED" w:rsidRDefault="000C0A6F" w:rsidP="000C0A6F">
      <w:pPr>
        <w:ind w:left="6663" w:hanging="6663"/>
        <w:jc w:val="center"/>
        <w:rPr>
          <w:rFonts w:ascii="Times New Roman" w:hAnsi="Times New Roman"/>
          <w:b/>
          <w:bCs/>
          <w:sz w:val="32"/>
          <w:szCs w:val="32"/>
        </w:rPr>
      </w:pPr>
      <w:r w:rsidRPr="00AE1BE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C0A6F" w:rsidRPr="0043317F" w:rsidRDefault="000C0A6F" w:rsidP="000C0A6F">
      <w:pPr>
        <w:pStyle w:val="1"/>
        <w:rPr>
          <w:b w:val="0"/>
          <w:bCs/>
          <w:sz w:val="28"/>
          <w:szCs w:val="28"/>
        </w:rPr>
      </w:pPr>
      <w:r w:rsidRPr="0043317F">
        <w:rPr>
          <w:b w:val="0"/>
          <w:bCs/>
          <w:sz w:val="28"/>
          <w:szCs w:val="28"/>
        </w:rPr>
        <w:t>Администрации Пестяковского муниципального района</w:t>
      </w:r>
    </w:p>
    <w:p w:rsidR="000C0A6F" w:rsidRPr="0043317F" w:rsidRDefault="000C0A6F" w:rsidP="000C0A6F">
      <w:pPr>
        <w:jc w:val="center"/>
        <w:rPr>
          <w:rFonts w:ascii="Times New Roman" w:hAnsi="Times New Roman"/>
          <w:noProof/>
          <w:sz w:val="28"/>
          <w:szCs w:val="28"/>
        </w:rPr>
      </w:pPr>
      <w:r w:rsidRPr="0043317F">
        <w:rPr>
          <w:rFonts w:ascii="Times New Roman" w:hAnsi="Times New Roman"/>
          <w:sz w:val="28"/>
          <w:szCs w:val="28"/>
        </w:rPr>
        <w:t>Ивановской области</w:t>
      </w:r>
    </w:p>
    <w:p w:rsidR="000C0A6F" w:rsidRPr="0043317F" w:rsidRDefault="00F0047D" w:rsidP="000C0A6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</w:t>
      </w:r>
      <w:r w:rsidR="00C9398C">
        <w:rPr>
          <w:rFonts w:ascii="Times New Roman" w:hAnsi="Times New Roman"/>
          <w:sz w:val="28"/>
          <w:szCs w:val="28"/>
        </w:rPr>
        <w:t xml:space="preserve">» декабря 2020 г.   № </w:t>
      </w:r>
      <w:r>
        <w:rPr>
          <w:rFonts w:ascii="Times New Roman" w:hAnsi="Times New Roman"/>
          <w:sz w:val="28"/>
          <w:szCs w:val="28"/>
        </w:rPr>
        <w:t>457</w:t>
      </w:r>
      <w:r w:rsidR="00C9398C">
        <w:rPr>
          <w:rFonts w:ascii="Times New Roman" w:hAnsi="Times New Roman"/>
          <w:sz w:val="28"/>
          <w:szCs w:val="28"/>
        </w:rPr>
        <w:t xml:space="preserve">   </w:t>
      </w:r>
      <w:r w:rsidR="000C0A6F">
        <w:rPr>
          <w:rFonts w:ascii="Times New Roman" w:hAnsi="Times New Roman"/>
          <w:sz w:val="28"/>
          <w:szCs w:val="28"/>
        </w:rPr>
        <w:t xml:space="preserve">              </w:t>
      </w:r>
      <w:r w:rsidR="000C0A6F" w:rsidRPr="0043317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C0A6F">
        <w:rPr>
          <w:rFonts w:ascii="Times New Roman" w:hAnsi="Times New Roman"/>
          <w:sz w:val="28"/>
          <w:szCs w:val="28"/>
        </w:rPr>
        <w:t xml:space="preserve">        </w:t>
      </w:r>
      <w:r w:rsidR="000C0A6F" w:rsidRPr="0043317F">
        <w:rPr>
          <w:rFonts w:ascii="Times New Roman" w:hAnsi="Times New Roman"/>
          <w:sz w:val="28"/>
          <w:szCs w:val="28"/>
        </w:rPr>
        <w:t>пос. Пестяки</w:t>
      </w:r>
    </w:p>
    <w:p w:rsidR="000C0A6F" w:rsidRPr="0048410E" w:rsidRDefault="000C0A6F" w:rsidP="000C0A6F">
      <w:pPr>
        <w:rPr>
          <w:rFonts w:ascii="Times New Roman" w:hAnsi="Times New Roman"/>
          <w:sz w:val="24"/>
          <w:szCs w:val="24"/>
        </w:rPr>
      </w:pPr>
    </w:p>
    <w:p w:rsidR="000C0A6F" w:rsidRDefault="000C0A6F" w:rsidP="000C0A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ИЗМЕНЕНИЯ В ПОСТАНОВЛЕНИЕ АДМИНИСТРАЦИИ ПЕСТЯКОВСКОГО МУНИЦИПАЛЬНОГО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>РАЙОНА  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18.02.2016 ГОДА № 49     «ОРГАНИЗАЦИЯ ДЕЯТЕЛЬНОСТИ ОРГАНОВ МЕСТНОГО САМОУПРАВЛЕНИЯ ПЕСТЯКОВСКОГО ГОРОДСКОГО ПОСЕЛЕНИЯ НА РЕШЕНИЕ ВОПРОСОВ МЕСТНОГО ЗНАЧЕНИЯ»</w:t>
      </w: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положениями статьи 179.3 Бюджетного кодекса Российской Федерации, статьями 32, 41 Устава Пестяковского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>, 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целях совершенствования программно-целевого планирования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Пестяковского муниципального района от 18.02.2016 года № 49 «Организация деятельности органов местного самоуправления Пестяковского городского поселения на решение вопросов местного значения» изменение, изложив приложение в новой </w:t>
      </w:r>
      <w:proofErr w:type="gramStart"/>
      <w:r>
        <w:rPr>
          <w:rFonts w:ascii="Times New Roman" w:hAnsi="Times New Roman"/>
          <w:sz w:val="28"/>
          <w:szCs w:val="28"/>
        </w:rPr>
        <w:t>редакции  (</w:t>
      </w:r>
      <w:proofErr w:type="gramEnd"/>
      <w:r>
        <w:rPr>
          <w:rFonts w:ascii="Times New Roman" w:hAnsi="Times New Roman"/>
          <w:sz w:val="28"/>
          <w:szCs w:val="28"/>
        </w:rPr>
        <w:t>прилагается).</w:t>
      </w: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   Настоящее постановление вступает в силу со дня его принятия. </w:t>
      </w: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</w:p>
    <w:p w:rsidR="000C0A6F" w:rsidRDefault="000C0A6F" w:rsidP="000C0A6F">
      <w:pPr>
        <w:jc w:val="both"/>
        <w:rPr>
          <w:rFonts w:ascii="Times New Roman" w:hAnsi="Times New Roman"/>
          <w:sz w:val="28"/>
          <w:szCs w:val="28"/>
        </w:rPr>
      </w:pPr>
    </w:p>
    <w:p w:rsidR="000C0A6F" w:rsidRDefault="000C0A6F" w:rsidP="000C0A6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C0A6F" w:rsidRDefault="000C0A6F" w:rsidP="000C0A6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0C0A6F" w:rsidRPr="00AE1BED" w:rsidRDefault="000C0A6F" w:rsidP="000C0A6F">
      <w:r>
        <w:rPr>
          <w:rFonts w:ascii="Times New Roman" w:hAnsi="Times New Roman"/>
          <w:sz w:val="28"/>
          <w:szCs w:val="28"/>
        </w:rPr>
        <w:t xml:space="preserve">Пестяковского муниципального района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Е.А.Железнова</w:t>
      </w:r>
      <w:proofErr w:type="spellEnd"/>
    </w:p>
    <w:p w:rsidR="000C0A6F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lastRenderedPageBreak/>
        <w:t xml:space="preserve">Приложение </w:t>
      </w:r>
    </w:p>
    <w:p w:rsidR="000C0A6F" w:rsidRPr="00EF4C4A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0C0A6F" w:rsidRDefault="000C0A6F" w:rsidP="000C0A6F">
      <w:pPr>
        <w:keepNext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от</w:t>
      </w:r>
      <w:r w:rsidR="00F408F6">
        <w:rPr>
          <w:rFonts w:ascii="Times New Roman" w:hAnsi="Times New Roman"/>
          <w:sz w:val="24"/>
          <w:szCs w:val="28"/>
        </w:rPr>
        <w:t xml:space="preserve"> __________</w:t>
      </w:r>
      <w:r>
        <w:rPr>
          <w:rFonts w:ascii="Times New Roman" w:hAnsi="Times New Roman"/>
          <w:sz w:val="24"/>
          <w:szCs w:val="28"/>
        </w:rPr>
        <w:t>.2020г.</w:t>
      </w:r>
      <w:r w:rsidRPr="00EF4C4A">
        <w:rPr>
          <w:rFonts w:ascii="Times New Roman" w:hAnsi="Times New Roman"/>
          <w:sz w:val="24"/>
          <w:szCs w:val="28"/>
        </w:rPr>
        <w:t xml:space="preserve"> №</w:t>
      </w:r>
      <w:r w:rsidR="00F408F6">
        <w:rPr>
          <w:rFonts w:ascii="Times New Roman" w:hAnsi="Times New Roman"/>
          <w:sz w:val="24"/>
          <w:szCs w:val="28"/>
        </w:rPr>
        <w:t xml:space="preserve"> ____</w:t>
      </w:r>
      <w:r w:rsidRPr="00EF4C4A">
        <w:rPr>
          <w:rFonts w:ascii="Times New Roman" w:hAnsi="Times New Roman"/>
          <w:sz w:val="24"/>
          <w:szCs w:val="28"/>
        </w:rPr>
        <w:t xml:space="preserve"> </w:t>
      </w:r>
    </w:p>
    <w:p w:rsidR="000C0A6F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</w:p>
    <w:p w:rsidR="000C0A6F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 xml:space="preserve">Приложение </w:t>
      </w:r>
    </w:p>
    <w:p w:rsidR="000C0A6F" w:rsidRPr="00EF4C4A" w:rsidRDefault="000C0A6F" w:rsidP="000C0A6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0C0A6F" w:rsidRPr="00EF4C4A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0C0A6F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F4C4A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 18.02.2016г.</w:t>
      </w:r>
      <w:r w:rsidRPr="00EF4C4A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49</w:t>
      </w:r>
    </w:p>
    <w:p w:rsidR="000C0A6F" w:rsidRDefault="000C0A6F" w:rsidP="000C0A6F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C0A6F" w:rsidRDefault="000C0A6F" w:rsidP="000C0A6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0A6F" w:rsidRPr="00BF205D" w:rsidRDefault="000C0A6F" w:rsidP="000C0A6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05D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«Организация деятельности органов местного самоуправления  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>Пестяковского городского поселения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на решение вопросов местного значения</w:t>
      </w:r>
      <w:r w:rsidRPr="00BF205D">
        <w:rPr>
          <w:rFonts w:ascii="Times New Roman" w:hAnsi="Times New Roman"/>
          <w:sz w:val="28"/>
          <w:szCs w:val="28"/>
        </w:rPr>
        <w:t>»</w:t>
      </w:r>
    </w:p>
    <w:p w:rsidR="000C0A6F" w:rsidRPr="00BF205D" w:rsidRDefault="000C0A6F" w:rsidP="000C0A6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</w:p>
    <w:p w:rsidR="000C0A6F" w:rsidRPr="00BF205D" w:rsidRDefault="000C0A6F" w:rsidP="000C0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BF205D">
        <w:rPr>
          <w:rFonts w:ascii="Times New Roman" w:hAnsi="Times New Roman"/>
          <w:b/>
          <w:sz w:val="28"/>
          <w:szCs w:val="24"/>
        </w:rPr>
        <w:t xml:space="preserve">Паспорт муниципальной программы  </w:t>
      </w:r>
    </w:p>
    <w:p w:rsidR="000C0A6F" w:rsidRPr="005A5F5B" w:rsidRDefault="000C0A6F" w:rsidP="000C0A6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0C0A6F" w:rsidRPr="005A5F5B" w:rsidTr="00165B41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C0A6F" w:rsidRPr="005A5F5B" w:rsidTr="00165B41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5A5F5B">
              <w:rPr>
                <w:rFonts w:eastAsia="Calibri"/>
                <w:lang w:eastAsia="en-US"/>
              </w:rPr>
              <w:t xml:space="preserve"> «Обеспечение </w:t>
            </w:r>
            <w:proofErr w:type="gramStart"/>
            <w:r w:rsidRPr="005A5F5B">
              <w:rPr>
                <w:rFonts w:eastAsia="Calibri"/>
                <w:lang w:eastAsia="en-US"/>
              </w:rPr>
              <w:t>деятельности  Совета</w:t>
            </w:r>
            <w:proofErr w:type="gramEnd"/>
            <w:r w:rsidRPr="005A5F5B">
              <w:t xml:space="preserve"> Пестяковского городского поселения»</w:t>
            </w:r>
          </w:p>
          <w:p w:rsidR="000C0A6F" w:rsidRPr="005A5F5B" w:rsidRDefault="000C0A6F" w:rsidP="00165B41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>
              <w:t>«</w:t>
            </w:r>
            <w:proofErr w:type="gramStart"/>
            <w:r w:rsidRPr="005A5F5B">
              <w:t>Иные  мероприятия</w:t>
            </w:r>
            <w:proofErr w:type="gramEnd"/>
            <w:r w:rsidRPr="005A5F5B">
              <w:t xml:space="preserve"> в области муниципального управления»</w:t>
            </w:r>
          </w:p>
        </w:tc>
      </w:tr>
      <w:tr w:rsidR="000C0A6F" w:rsidRPr="005A5F5B" w:rsidTr="00165B41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 xml:space="preserve">2. Повышение эффективности и результативности деятельности органов местного </w:t>
            </w:r>
            <w:proofErr w:type="gramStart"/>
            <w:r w:rsidRPr="005A5F5B">
              <w:t>самоуправления  Пестяковского</w:t>
            </w:r>
            <w:proofErr w:type="gramEnd"/>
            <w:r w:rsidRPr="005A5F5B">
              <w:t xml:space="preserve"> городского поселения.</w:t>
            </w:r>
          </w:p>
          <w:p w:rsidR="000C0A6F" w:rsidRPr="005A5F5B" w:rsidRDefault="000C0A6F" w:rsidP="00165B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0C0A6F" w:rsidRPr="005A5F5B" w:rsidTr="00165B41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lastRenderedPageBreak/>
              <w:t>3. Полнота обеспечения финансирования иных мероприятий в области муниципального управления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0C0A6F" w:rsidRPr="005A5F5B" w:rsidTr="00165B41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A5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 ресурсного</w:t>
            </w:r>
            <w:proofErr w:type="gramEnd"/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обеспечения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ий объем бюджетных ассигнований: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14 000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795715,00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982953,36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821 152,00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90D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C9398C">
              <w:rPr>
                <w:rFonts w:ascii="Times New Roman" w:hAnsi="Times New Roman"/>
                <w:sz w:val="24"/>
                <w:szCs w:val="24"/>
              </w:rPr>
              <w:t>981 595,58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2021г-    976 435,26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976 435,26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-  976 435,26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Пестяковского муниципального района: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3 835,60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0,00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 - 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0C0A6F" w:rsidRPr="00EC1411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1 011 433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795 715,00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979 117,76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820 382,00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C9398C">
              <w:rPr>
                <w:rFonts w:ascii="Times New Roman" w:hAnsi="Times New Roman"/>
                <w:sz w:val="24"/>
                <w:szCs w:val="24"/>
              </w:rPr>
              <w:t>981 595,58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976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435,26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976 435,26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   976 435,26 рублей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 -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0,00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-   0,00 рублей.</w:t>
            </w:r>
          </w:p>
        </w:tc>
      </w:tr>
    </w:tbl>
    <w:p w:rsidR="000C0A6F" w:rsidRPr="005A5F5B" w:rsidRDefault="000C0A6F" w:rsidP="000C0A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A6F" w:rsidRPr="001333B5" w:rsidRDefault="000C0A6F" w:rsidP="000C0A6F">
      <w:pPr>
        <w:pStyle w:val="a7"/>
        <w:ind w:left="360"/>
        <w:jc w:val="center"/>
        <w:rPr>
          <w:b/>
          <w:bCs/>
          <w:sz w:val="28"/>
        </w:rPr>
      </w:pPr>
      <w:r w:rsidRPr="001333B5">
        <w:rPr>
          <w:b/>
          <w:sz w:val="28"/>
        </w:rPr>
        <w:t>2. Анализ текущей ситуации в сфере реализации Программы</w:t>
      </w:r>
    </w:p>
    <w:p w:rsidR="000C0A6F" w:rsidRPr="001333B5" w:rsidRDefault="000C0A6F" w:rsidP="000C0A6F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 xml:space="preserve">Основной целью административной реформы проводимой в Российской </w:t>
      </w:r>
      <w:proofErr w:type="gramStart"/>
      <w:r w:rsidRPr="001333B5">
        <w:rPr>
          <w:rFonts w:ascii="Times New Roman" w:hAnsi="Times New Roman"/>
          <w:sz w:val="28"/>
          <w:szCs w:val="24"/>
        </w:rPr>
        <w:t>Федерации  на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</w:t>
      </w:r>
      <w:proofErr w:type="gramStart"/>
      <w:r w:rsidRPr="001333B5">
        <w:rPr>
          <w:rFonts w:ascii="Times New Roman" w:hAnsi="Times New Roman"/>
          <w:sz w:val="28"/>
          <w:szCs w:val="24"/>
        </w:rPr>
        <w:t>Основная  стратегическая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цель программы: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 xml:space="preserve">создание условий для повышения уровня и качества жизни граждан на основе устойчивого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lastRenderedPageBreak/>
        <w:t>экономического роста и укрепления социальной инфраструктуры городского поселения.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этого необходимо создание благоприятного, инвестиционного и предпринимательского климата, </w:t>
      </w:r>
      <w:r w:rsidRPr="001333B5">
        <w:rPr>
          <w:rFonts w:ascii="Times New Roman" w:hAnsi="Times New Roman"/>
          <w:sz w:val="28"/>
          <w:szCs w:val="24"/>
          <w:lang w:val="ru-MD"/>
        </w:rPr>
        <w:t>увеличение</w:t>
      </w:r>
      <w:r w:rsidRPr="001333B5">
        <w:rPr>
          <w:rFonts w:ascii="Times New Roman" w:hAnsi="Times New Roman"/>
          <w:sz w:val="28"/>
          <w:szCs w:val="24"/>
        </w:rPr>
        <w:t xml:space="preserve"> доходной </w:t>
      </w:r>
      <w:proofErr w:type="gramStart"/>
      <w:r w:rsidRPr="001333B5">
        <w:rPr>
          <w:rFonts w:ascii="Times New Roman" w:hAnsi="Times New Roman"/>
          <w:sz w:val="28"/>
          <w:szCs w:val="24"/>
        </w:rPr>
        <w:t>части  бюджета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1333B5">
        <w:rPr>
          <w:rFonts w:ascii="Times New Roman" w:hAnsi="Times New Roman"/>
          <w:bCs/>
          <w:iCs/>
          <w:sz w:val="28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За реализацию этих задач в первую очередь отвечают органы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о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0C0A6F" w:rsidRPr="001333B5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0C0A6F" w:rsidRDefault="000C0A6F" w:rsidP="000C0A6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Все поступающие </w:t>
      </w:r>
      <w:proofErr w:type="gramStart"/>
      <w:r w:rsidRPr="001333B5">
        <w:rPr>
          <w:rFonts w:ascii="Times New Roman" w:hAnsi="Times New Roman"/>
          <w:sz w:val="28"/>
          <w:szCs w:val="24"/>
        </w:rPr>
        <w:t>обращения  рассматриваются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</w:t>
      </w:r>
      <w:proofErr w:type="gramStart"/>
      <w:r w:rsidRPr="001333B5">
        <w:rPr>
          <w:rFonts w:ascii="Times New Roman" w:hAnsi="Times New Roman"/>
          <w:sz w:val="28"/>
          <w:szCs w:val="24"/>
        </w:rPr>
        <w:t>обращениях,  даются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разъяснения по действующему </w:t>
      </w:r>
      <w:r w:rsidRPr="001333B5">
        <w:rPr>
          <w:rFonts w:ascii="Times New Roman" w:hAnsi="Times New Roman"/>
          <w:sz w:val="28"/>
          <w:szCs w:val="24"/>
        </w:rPr>
        <w:lastRenderedPageBreak/>
        <w:t>законодательству, о правах заявителей, принимаются меры по устранению нарушений.</w:t>
      </w:r>
    </w:p>
    <w:p w:rsidR="000C0A6F" w:rsidRPr="009A0E85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9A0E85">
        <w:rPr>
          <w:rFonts w:ascii="Times New Roman" w:hAnsi="Times New Roman"/>
          <w:sz w:val="28"/>
          <w:szCs w:val="28"/>
          <w:lang w:val="x-none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Основными направлениями иных мероприятий в области муниципального управления являются расходы на </w:t>
      </w:r>
      <w:r>
        <w:rPr>
          <w:rFonts w:ascii="Times New Roman" w:hAnsi="Times New Roman"/>
          <w:sz w:val="28"/>
          <w:szCs w:val="28"/>
          <w:lang w:val="x-none"/>
        </w:rPr>
        <w:t>опубликовани</w:t>
      </w:r>
      <w:r>
        <w:rPr>
          <w:rFonts w:ascii="Times New Roman" w:hAnsi="Times New Roman"/>
          <w:sz w:val="28"/>
          <w:szCs w:val="28"/>
        </w:rPr>
        <w:t>е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9A0E85">
        <w:rPr>
          <w:rFonts w:ascii="Times New Roman" w:hAnsi="Times New Roman"/>
          <w:sz w:val="28"/>
          <w:szCs w:val="28"/>
        </w:rPr>
        <w:t>Пестяковского</w:t>
      </w:r>
      <w:r>
        <w:rPr>
          <w:rFonts w:ascii="Times New Roman" w:hAnsi="Times New Roman"/>
          <w:sz w:val="28"/>
          <w:szCs w:val="28"/>
          <w:lang w:val="x-none"/>
        </w:rPr>
        <w:t xml:space="preserve"> городского поселени</w:t>
      </w:r>
      <w:r>
        <w:rPr>
          <w:rFonts w:ascii="Times New Roman" w:hAnsi="Times New Roman"/>
          <w:sz w:val="28"/>
          <w:szCs w:val="28"/>
        </w:rPr>
        <w:t>и, организацию и проведение конкурсов и аукционов, р</w:t>
      </w:r>
      <w:r w:rsidRPr="001333B5">
        <w:rPr>
          <w:rFonts w:ascii="Times New Roman" w:hAnsi="Times New Roman"/>
          <w:sz w:val="28"/>
          <w:szCs w:val="24"/>
        </w:rPr>
        <w:t>асходы на участие в межмуниципальном сотрудничестве</w:t>
      </w:r>
    </w:p>
    <w:p w:rsidR="000C0A6F" w:rsidRDefault="000C0A6F" w:rsidP="000C0A6F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 xml:space="preserve">Администрация Пестяковского муниципального района производит выплаты </w:t>
      </w:r>
      <w:r w:rsidRPr="009A0E85">
        <w:rPr>
          <w:rFonts w:ascii="Times New Roman" w:hAnsi="Times New Roman"/>
          <w:sz w:val="28"/>
          <w:szCs w:val="28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9A0E85">
        <w:rPr>
          <w:rFonts w:ascii="Times New Roman" w:hAnsi="Times New Roman"/>
          <w:sz w:val="28"/>
          <w:szCs w:val="28"/>
        </w:rPr>
        <w:t xml:space="preserve">   </w:t>
      </w:r>
    </w:p>
    <w:p w:rsidR="000C0A6F" w:rsidRDefault="000C0A6F" w:rsidP="000C0A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0C0A6F" w:rsidRPr="001333B5" w:rsidRDefault="000C0A6F" w:rsidP="000C0A6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3. Сведения о целевых индикаторах (показателях) Программы</w:t>
      </w:r>
    </w:p>
    <w:p w:rsidR="000C0A6F" w:rsidRPr="005A5F5B" w:rsidRDefault="000C0A6F" w:rsidP="000C0A6F">
      <w:pPr>
        <w:pStyle w:val="a6"/>
        <w:spacing w:before="0" w:beforeAutospacing="0" w:after="0" w:afterAutospacing="0"/>
        <w:rPr>
          <w:lang w:eastAsia="ar-SA"/>
        </w:rPr>
      </w:pPr>
    </w:p>
    <w:p w:rsidR="000C0A6F" w:rsidRDefault="000C0A6F" w:rsidP="000C0A6F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1333B5">
        <w:rPr>
          <w:sz w:val="28"/>
          <w:szCs w:val="28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9A0E8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A0E85">
        <w:rPr>
          <w:rFonts w:ascii="Times New Roman" w:hAnsi="Times New Roman"/>
          <w:b/>
          <w:sz w:val="28"/>
          <w:szCs w:val="24"/>
        </w:rPr>
        <w:t>Сведения о целевых индикаторах (показателях) Программы</w:t>
      </w:r>
    </w:p>
    <w:p w:rsidR="000C0A6F" w:rsidRPr="008E2670" w:rsidRDefault="000C0A6F" w:rsidP="000C0A6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1121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715"/>
        <w:gridCol w:w="732"/>
        <w:gridCol w:w="732"/>
        <w:gridCol w:w="878"/>
        <w:gridCol w:w="732"/>
        <w:gridCol w:w="759"/>
        <w:gridCol w:w="907"/>
        <w:gridCol w:w="836"/>
        <w:gridCol w:w="709"/>
      </w:tblGrid>
      <w:tr w:rsidR="000C0A6F" w:rsidRPr="005A5F5B" w:rsidTr="00165B41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1" w:type="dxa"/>
            <w:vMerge w:val="restart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5576" w:type="dxa"/>
            <w:gridSpan w:val="7"/>
            <w:tcBorders>
              <w:bottom w:val="nil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709" w:type="dxa"/>
            <w:tcBorders>
              <w:bottom w:val="nil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cantSplit/>
          <w:trHeight w:val="667"/>
        </w:trPr>
        <w:tc>
          <w:tcPr>
            <w:tcW w:w="610" w:type="dxa"/>
            <w:vMerge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BB346D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C0A6F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0C0A6F" w:rsidRPr="000A3479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</w:tr>
      <w:tr w:rsidR="000C0A6F" w:rsidRPr="005A5F5B" w:rsidTr="00165B41">
        <w:trPr>
          <w:cantSplit/>
          <w:trHeight w:val="142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5A5F5B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BB346D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0A3479" w:rsidRDefault="000C0A6F" w:rsidP="00165B41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C0A6F" w:rsidRPr="005A5F5B" w:rsidTr="00165B41">
        <w:trPr>
          <w:cantSplit/>
          <w:trHeight w:val="1067"/>
        </w:trPr>
        <w:tc>
          <w:tcPr>
            <w:tcW w:w="610" w:type="dxa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  <w:p w:rsidR="000C0A6F" w:rsidRPr="00D66E1C" w:rsidRDefault="000C0A6F" w:rsidP="00165B4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BB346D" w:rsidRDefault="000C0A6F" w:rsidP="00165B41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C0A6F" w:rsidRPr="000A3479" w:rsidRDefault="000C0A6F" w:rsidP="00165B41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C0A6F" w:rsidRPr="005A5F5B" w:rsidTr="00165B41">
        <w:trPr>
          <w:cantSplit/>
          <w:trHeight w:val="1448"/>
        </w:trPr>
        <w:tc>
          <w:tcPr>
            <w:tcW w:w="610" w:type="dxa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left="-277" w:firstLine="277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0C0A6F" w:rsidRPr="005A5F5B" w:rsidTr="00165B41">
        <w:trPr>
          <w:cantSplit/>
          <w:trHeight w:val="915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0A6F" w:rsidRPr="005A5F5B" w:rsidTr="00165B41">
        <w:trPr>
          <w:cantSplit/>
          <w:trHeight w:val="1219"/>
        </w:trPr>
        <w:tc>
          <w:tcPr>
            <w:tcW w:w="610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15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0C0A6F" w:rsidRPr="00D66E1C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D66E1C" w:rsidRDefault="000C0A6F" w:rsidP="00165B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C0A6F" w:rsidRPr="00D66E1C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D66E1C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BB346D" w:rsidRDefault="000C0A6F" w:rsidP="00165B41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C0A6F" w:rsidRDefault="000C0A6F" w:rsidP="00165B4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C0A6F" w:rsidRPr="000A3479" w:rsidRDefault="000C0A6F" w:rsidP="00165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C0A6F" w:rsidRPr="005A5F5B" w:rsidRDefault="000C0A6F" w:rsidP="000C0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1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5A5F5B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0A6F" w:rsidRPr="005A5F5B" w:rsidTr="00165B41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0C0A6F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20"/>
          <w:jc w:val="right"/>
        </w:trPr>
        <w:tc>
          <w:tcPr>
            <w:tcW w:w="5276" w:type="dxa"/>
            <w:gridSpan w:val="2"/>
          </w:tcPr>
          <w:p w:rsidR="000C0A6F" w:rsidRPr="005A5F5B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A6F" w:rsidRPr="005A5F5B" w:rsidRDefault="000C0A6F" w:rsidP="000C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0C0A6F" w:rsidRPr="005A5F5B" w:rsidTr="00165B41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0C0A6F" w:rsidRPr="005A5F5B" w:rsidTr="00165B41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A5F5B">
              <w:rPr>
                <w:sz w:val="24"/>
                <w:szCs w:val="24"/>
              </w:rPr>
              <w:t>1.Обеспечение  деятельности</w:t>
            </w:r>
            <w:proofErr w:type="gramEnd"/>
            <w:r w:rsidRPr="005A5F5B">
              <w:rPr>
                <w:sz w:val="24"/>
                <w:szCs w:val="24"/>
              </w:rPr>
              <w:t xml:space="preserve">  представительного органа Пестяковского городского поселения.</w:t>
            </w:r>
          </w:p>
          <w:p w:rsidR="000C0A6F" w:rsidRPr="005A5F5B" w:rsidRDefault="000C0A6F" w:rsidP="00165B41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0C0A6F" w:rsidRPr="005A5F5B" w:rsidTr="00165B41">
        <w:trPr>
          <w:trHeight w:val="2956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5A5F5B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AA6A50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6A50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 588 255,58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5621E1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932 367,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932 435,26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 -  932 435,26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7B42D8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2D8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 588 255,58</w:t>
            </w:r>
            <w:r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5621E1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932 367,76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932 435,26 рублей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932 435,26 рублей.</w:t>
            </w:r>
          </w:p>
        </w:tc>
      </w:tr>
      <w:tr w:rsidR="000C0A6F" w:rsidRPr="005A5F5B" w:rsidTr="00165B41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color w:val="000000"/>
          <w:sz w:val="28"/>
          <w:szCs w:val="24"/>
        </w:rPr>
      </w:pP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 – «Создание условий для деятельности Совета Пестяковского городского поселения».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выполнения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</w:t>
      </w:r>
      <w:r w:rsidRPr="001333B5">
        <w:rPr>
          <w:rFonts w:ascii="Times New Roman" w:hAnsi="Times New Roman"/>
          <w:sz w:val="28"/>
          <w:szCs w:val="24"/>
        </w:rPr>
        <w:t xml:space="preserve"> Подпрограмма предусматривает реализацию следующих мероприятий: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Расходы на обеспечение функционирования деятельности главы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 xml:space="preserve">В мероприятие входит оплата труда с </w:t>
      </w:r>
      <w:proofErr w:type="gramStart"/>
      <w:r w:rsidRPr="001333B5">
        <w:rPr>
          <w:sz w:val="28"/>
        </w:rPr>
        <w:t>начислениями  главе</w:t>
      </w:r>
      <w:proofErr w:type="gramEnd"/>
      <w:r w:rsidRPr="001333B5">
        <w:rPr>
          <w:sz w:val="28"/>
        </w:rPr>
        <w:t xml:space="preserve"> Пестяковского городского поселения.</w:t>
      </w:r>
    </w:p>
    <w:p w:rsidR="000C0A6F" w:rsidRPr="001333B5" w:rsidRDefault="000C0A6F" w:rsidP="000C0A6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Обеспечение функционирования деятельности Совета Пестяковского городского поселения.</w:t>
      </w:r>
    </w:p>
    <w:p w:rsidR="000C0A6F" w:rsidRPr="001333B5" w:rsidRDefault="000C0A6F" w:rsidP="000C0A6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 xml:space="preserve"> </w:t>
      </w:r>
    </w:p>
    <w:p w:rsidR="000C0A6F" w:rsidRPr="001333B5" w:rsidRDefault="000C0A6F" w:rsidP="000C0A6F">
      <w:pPr>
        <w:pStyle w:val="4"/>
        <w:keepNext w:val="0"/>
        <w:widowControl w:val="0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Реализация мероприятий подпрограммы, достижение запланированных результатов </w:t>
      </w:r>
      <w:proofErr w:type="gramStart"/>
      <w:r w:rsidRPr="001333B5">
        <w:rPr>
          <w:rFonts w:ascii="Times New Roman" w:hAnsi="Times New Roman"/>
          <w:sz w:val="28"/>
          <w:szCs w:val="24"/>
        </w:rPr>
        <w:t>деятельности  Совета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  <w:sectPr w:rsidR="000C0A6F" w:rsidSect="00165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333B5">
        <w:rPr>
          <w:rFonts w:ascii="Times New Roman" w:hAnsi="Times New Roman"/>
          <w:b/>
          <w:sz w:val="28"/>
          <w:szCs w:val="24"/>
        </w:rPr>
        <w:tab/>
      </w:r>
    </w:p>
    <w:p w:rsidR="000C0A6F" w:rsidRPr="001333B5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2</w:t>
      </w:r>
    </w:p>
    <w:tbl>
      <w:tblPr>
        <w:tblW w:w="50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540"/>
        <w:gridCol w:w="1074"/>
        <w:gridCol w:w="963"/>
        <w:gridCol w:w="1083"/>
        <w:gridCol w:w="1220"/>
        <w:gridCol w:w="1223"/>
        <w:gridCol w:w="1083"/>
        <w:gridCol w:w="1167"/>
        <w:gridCol w:w="974"/>
        <w:gridCol w:w="1416"/>
      </w:tblGrid>
      <w:tr w:rsidR="000C0A6F" w:rsidRPr="005A5F5B" w:rsidTr="00165B41">
        <w:trPr>
          <w:trHeight w:val="67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№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312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left="-109"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Значение показателей эффективности по годам</w:t>
            </w:r>
          </w:p>
        </w:tc>
      </w:tr>
      <w:tr w:rsidR="000C0A6F" w:rsidRPr="005A5F5B" w:rsidTr="00165B41">
        <w:trPr>
          <w:trHeight w:val="16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2016 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2017</w:t>
            </w:r>
            <w:r>
              <w:rPr>
                <w:bCs/>
              </w:rPr>
              <w:t>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2018 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2019 год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2020 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444F66" w:rsidRDefault="000C0A6F" w:rsidP="00165B41">
            <w:pPr>
              <w:spacing w:after="160" w:line="259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0C0A6F" w:rsidRPr="00590AE9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tcBorders>
              <w:top w:val="nil"/>
              <w:bottom w:val="nil"/>
            </w:tcBorders>
            <w:shd w:val="clear" w:color="auto" w:fill="auto"/>
          </w:tcPr>
          <w:p w:rsidR="000C0A6F" w:rsidRPr="005A5F5B" w:rsidRDefault="000C0A6F" w:rsidP="00165B41">
            <w:pPr>
              <w:spacing w:after="160" w:line="259" w:lineRule="auto"/>
            </w:pPr>
            <w:r>
              <w:t>2023год</w:t>
            </w:r>
          </w:p>
        </w:tc>
      </w:tr>
      <w:tr w:rsidR="000C0A6F" w:rsidRPr="005A5F5B" w:rsidTr="00165B41">
        <w:trPr>
          <w:trHeight w:val="63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Default="000C0A6F" w:rsidP="00165B41">
            <w:pPr>
              <w:pStyle w:val="ConsPlusNormal"/>
              <w:widowControl/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Создание условий для деятельности Совета</w:t>
            </w: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Пестяковского городского поселения</w:t>
            </w:r>
          </w:p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spacing w:after="160" w:line="259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pStyle w:val="ConsPlusNormal"/>
              <w:rPr>
                <w:b/>
                <w:sz w:val="24"/>
                <w:szCs w:val="24"/>
              </w:rPr>
            </w:pPr>
          </w:p>
          <w:p w:rsidR="000C0A6F" w:rsidRDefault="000C0A6F" w:rsidP="00165B41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Default="000C0A6F" w:rsidP="00165B41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91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4" w:type="pct"/>
            <w:shd w:val="clear" w:color="auto" w:fill="auto"/>
          </w:tcPr>
          <w:p w:rsidR="000C0A6F" w:rsidRDefault="000C0A6F" w:rsidP="00165B41">
            <w:pPr>
              <w:spacing w:after="160" w:line="259" w:lineRule="auto"/>
            </w:pPr>
          </w:p>
          <w:p w:rsidR="000C0A6F" w:rsidRPr="008A4DB8" w:rsidRDefault="000C0A6F" w:rsidP="00165B41">
            <w:r>
              <w:t>100</w:t>
            </w:r>
          </w:p>
        </w:tc>
      </w:tr>
      <w:tr w:rsidR="000C0A6F" w:rsidRPr="005A5F5B" w:rsidTr="00165B41">
        <w:trPr>
          <w:trHeight w:val="123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A6F" w:rsidRPr="005A5F5B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A6F" w:rsidRPr="005A5F5B" w:rsidRDefault="000C0A6F" w:rsidP="00165B4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</w:tcPr>
          <w:p w:rsidR="000C0A6F" w:rsidRDefault="000C0A6F" w:rsidP="00165B41">
            <w:pPr>
              <w:spacing w:after="160" w:line="259" w:lineRule="auto"/>
            </w:pPr>
          </w:p>
          <w:p w:rsidR="000C0A6F" w:rsidRPr="008A4DB8" w:rsidRDefault="000C0A6F" w:rsidP="00165B41">
            <w:r>
              <w:t>0</w:t>
            </w:r>
          </w:p>
        </w:tc>
      </w:tr>
    </w:tbl>
    <w:p w:rsidR="000C0A6F" w:rsidRDefault="000C0A6F" w:rsidP="000C0A6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4.  Ресурсное обеспечение подпрограммы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pStyle w:val="ConsPlusTitle"/>
        <w:widowControl/>
        <w:jc w:val="right"/>
        <w:outlineLvl w:val="0"/>
        <w:rPr>
          <w:b w:val="0"/>
          <w:sz w:val="28"/>
        </w:rPr>
      </w:pPr>
    </w:p>
    <w:p w:rsidR="000C0A6F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0C0A6F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D71266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74"/>
        <w:gridCol w:w="3529"/>
        <w:gridCol w:w="1418"/>
        <w:gridCol w:w="1275"/>
        <w:gridCol w:w="1276"/>
        <w:gridCol w:w="1418"/>
        <w:gridCol w:w="1417"/>
        <w:gridCol w:w="1417"/>
        <w:gridCol w:w="1417"/>
      </w:tblGrid>
      <w:tr w:rsidR="000C0A6F" w:rsidRPr="005A5F5B" w:rsidTr="00165B41">
        <w:trPr>
          <w:trHeight w:val="825"/>
        </w:trPr>
        <w:tc>
          <w:tcPr>
            <w:tcW w:w="974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0C0A6F" w:rsidRPr="005A5F5B" w:rsidRDefault="000C0A6F" w:rsidP="00165B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</w:tr>
      <w:tr w:rsidR="000C0A6F" w:rsidRPr="005A5F5B" w:rsidTr="00165B41">
        <w:trPr>
          <w:trHeight w:val="354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rPr>
                <w:b/>
              </w:rPr>
            </w:pPr>
            <w:r>
              <w:rPr>
                <w:b/>
              </w:rPr>
              <w:t>588 255,58</w:t>
            </w:r>
          </w:p>
        </w:tc>
        <w:tc>
          <w:tcPr>
            <w:tcW w:w="1417" w:type="dxa"/>
          </w:tcPr>
          <w:p w:rsidR="000C0A6F" w:rsidRPr="005A1224" w:rsidRDefault="000C0A6F" w:rsidP="005621E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</w:t>
            </w:r>
            <w:r w:rsidR="005621E1">
              <w:rPr>
                <w:b/>
              </w:rPr>
              <w:t>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</w:tr>
      <w:tr w:rsidR="000C0A6F" w:rsidRPr="005A5F5B" w:rsidTr="00165B41">
        <w:trPr>
          <w:trHeight w:val="207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5621E1" w:rsidP="00165B41">
            <w:pPr>
              <w:widowControl w:val="0"/>
            </w:pPr>
            <w:r>
              <w:t>932 367,76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</w:pPr>
            <w: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</w:pPr>
            <w:r>
              <w:t>932 435,26</w:t>
            </w:r>
          </w:p>
        </w:tc>
      </w:tr>
      <w:tr w:rsidR="000C0A6F" w:rsidRPr="005A5F5B" w:rsidTr="00165B41">
        <w:trPr>
          <w:trHeight w:val="595"/>
        </w:trPr>
        <w:tc>
          <w:tcPr>
            <w:tcW w:w="4503" w:type="dxa"/>
            <w:gridSpan w:val="2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5621E1" w:rsidP="00165B41">
            <w:pPr>
              <w:widowControl w:val="0"/>
              <w:jc w:val="center"/>
            </w:pPr>
            <w:r>
              <w:t>932 367,76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0C0A6F" w:rsidRPr="00596FAF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FAF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588 255,58</w:t>
            </w:r>
          </w:p>
        </w:tc>
        <w:tc>
          <w:tcPr>
            <w:tcW w:w="1417" w:type="dxa"/>
          </w:tcPr>
          <w:p w:rsidR="000C0A6F" w:rsidRPr="005A1224" w:rsidRDefault="005621E1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A1224" w:rsidRDefault="000C0A6F" w:rsidP="00165B41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0C0A6F" w:rsidRPr="005A1224" w:rsidRDefault="00165B41" w:rsidP="00165B41">
            <w:pPr>
              <w:widowControl w:val="0"/>
              <w:jc w:val="center"/>
            </w:pPr>
            <w:r>
              <w:t>588 255,58</w:t>
            </w:r>
          </w:p>
        </w:tc>
        <w:tc>
          <w:tcPr>
            <w:tcW w:w="1417" w:type="dxa"/>
          </w:tcPr>
          <w:p w:rsidR="000C0A6F" w:rsidRPr="005A1224" w:rsidRDefault="005621E1" w:rsidP="00165B41">
            <w:pPr>
              <w:widowControl w:val="0"/>
              <w:jc w:val="center"/>
            </w:pPr>
            <w:r>
              <w:t>932 367,76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</w:pPr>
            <w:r>
              <w:t xml:space="preserve"> 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6A5CDA" w:rsidRDefault="000C0A6F" w:rsidP="00165B41">
            <w:pPr>
              <w:jc w:val="center"/>
            </w:pPr>
            <w:r w:rsidRPr="006A5CDA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0C0A6F" w:rsidRPr="006A5CDA" w:rsidRDefault="000C0A6F" w:rsidP="00165B41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418" w:type="dxa"/>
          </w:tcPr>
          <w:p w:rsidR="000C0A6F" w:rsidRPr="006A5CDA" w:rsidRDefault="00165B41" w:rsidP="00165B41">
            <w:pPr>
              <w:widowControl w:val="0"/>
            </w:pPr>
            <w:r>
              <w:t>588 255,58</w:t>
            </w:r>
          </w:p>
        </w:tc>
        <w:tc>
          <w:tcPr>
            <w:tcW w:w="1417" w:type="dxa"/>
          </w:tcPr>
          <w:p w:rsidR="000C0A6F" w:rsidRPr="006A5CDA" w:rsidRDefault="005621E1" w:rsidP="00165B41">
            <w:pPr>
              <w:widowControl w:val="0"/>
            </w:pPr>
            <w:r>
              <w:t xml:space="preserve"> 932 367,76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</w:pPr>
            <w:r>
              <w:t xml:space="preserve">    932 435,26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</w:pPr>
            <w:r>
              <w:t>932 435,26</w:t>
            </w:r>
          </w:p>
        </w:tc>
      </w:tr>
      <w:tr w:rsidR="000C0A6F" w:rsidRPr="005A5F5B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9" w:type="dxa"/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418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606742,00</w:t>
            </w:r>
          </w:p>
        </w:tc>
        <w:tc>
          <w:tcPr>
            <w:tcW w:w="1275" w:type="dxa"/>
          </w:tcPr>
          <w:p w:rsidR="000C0A6F" w:rsidRPr="006A5CDA" w:rsidRDefault="000C0A6F" w:rsidP="00165B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707 967,00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707 967,00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50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416 109,58</w:t>
            </w:r>
          </w:p>
        </w:tc>
        <w:tc>
          <w:tcPr>
            <w:tcW w:w="1417" w:type="dxa"/>
          </w:tcPr>
          <w:p w:rsidR="000C0A6F" w:rsidRPr="006A5CDA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0C0A6F" w:rsidRPr="005A1224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  <w:tc>
          <w:tcPr>
            <w:tcW w:w="1417" w:type="dxa"/>
          </w:tcPr>
          <w:p w:rsidR="000C0A6F" w:rsidRDefault="000C0A6F" w:rsidP="00165B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 w:val="restart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529" w:type="dxa"/>
          </w:tcPr>
          <w:p w:rsidR="000C0A6F" w:rsidRPr="005D6F2F" w:rsidRDefault="000C0A6F" w:rsidP="0016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Обеспечение функционирования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141865,00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5621E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224 400,76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  <w:tr w:rsidR="000C0A6F" w:rsidRPr="005D6F2F" w:rsidTr="00165B41">
        <w:trPr>
          <w:trHeight w:val="267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5621E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224 400,76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  <w:tr w:rsidR="000C0A6F" w:rsidRPr="005D6F2F" w:rsidTr="00165B41">
        <w:trPr>
          <w:trHeight w:val="306"/>
        </w:trPr>
        <w:tc>
          <w:tcPr>
            <w:tcW w:w="974" w:type="dxa"/>
            <w:vMerge/>
            <w:vAlign w:val="center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0C0A6F" w:rsidRPr="005D6F2F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0C0A6F" w:rsidRPr="005D6F2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0C0A6F" w:rsidRDefault="00165B4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172 146,00</w:t>
            </w:r>
          </w:p>
        </w:tc>
        <w:tc>
          <w:tcPr>
            <w:tcW w:w="1417" w:type="dxa"/>
          </w:tcPr>
          <w:p w:rsidR="000C0A6F" w:rsidRDefault="005621E1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224 400,76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</w:tbl>
    <w:p w:rsidR="000C0A6F" w:rsidRDefault="000C0A6F" w:rsidP="000C0A6F">
      <w:pPr>
        <w:spacing w:after="0" w:line="240" w:lineRule="auto"/>
        <w:ind w:firstLine="709"/>
        <w:rPr>
          <w:rFonts w:ascii="Times New Roman" w:hAnsi="Times New Roman"/>
        </w:rPr>
        <w:sectPr w:rsidR="000C0A6F" w:rsidSect="00165B4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0C0A6F" w:rsidRPr="008E2670" w:rsidTr="00165B41">
        <w:trPr>
          <w:trHeight w:val="1276"/>
          <w:jc w:val="right"/>
        </w:trPr>
        <w:tc>
          <w:tcPr>
            <w:tcW w:w="3820" w:type="dxa"/>
          </w:tcPr>
          <w:p w:rsidR="000C0A6F" w:rsidRPr="008E2670" w:rsidRDefault="000C0A6F" w:rsidP="00165B41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2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0C0A6F" w:rsidRPr="008E2670" w:rsidRDefault="000C0A6F" w:rsidP="00165B41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0C0A6F" w:rsidRPr="005A5F5B" w:rsidRDefault="000C0A6F" w:rsidP="000C0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proofErr w:type="gramStart"/>
      <w:r w:rsidRPr="001333B5">
        <w:rPr>
          <w:rFonts w:ascii="Times New Roman" w:hAnsi="Times New Roman"/>
          <w:b/>
          <w:sz w:val="28"/>
          <w:szCs w:val="24"/>
        </w:rPr>
        <w:t>Иные  мероприятия</w:t>
      </w:r>
      <w:proofErr w:type="gramEnd"/>
      <w:r w:rsidRPr="001333B5">
        <w:rPr>
          <w:rFonts w:ascii="Times New Roman" w:hAnsi="Times New Roman"/>
          <w:b/>
          <w:sz w:val="28"/>
          <w:szCs w:val="24"/>
        </w:rPr>
        <w:t xml:space="preserve"> в области муниципального управления»</w:t>
      </w:r>
    </w:p>
    <w:p w:rsidR="000C0A6F" w:rsidRPr="001333B5" w:rsidRDefault="000C0A6F" w:rsidP="000C0A6F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0C0A6F" w:rsidRPr="005A5F5B" w:rsidTr="00165B41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A5F5B">
              <w:rPr>
                <w:rFonts w:ascii="Times New Roman" w:hAnsi="Times New Roman"/>
                <w:sz w:val="24"/>
                <w:szCs w:val="24"/>
              </w:rPr>
              <w:t>Иные  мероприятия</w:t>
            </w:r>
            <w:proofErr w:type="gramEnd"/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в области муниципального управления»</w:t>
            </w:r>
          </w:p>
        </w:tc>
      </w:tr>
      <w:tr w:rsidR="000C0A6F" w:rsidRPr="005A5F5B" w:rsidTr="00165B41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Срок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670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0C0A6F" w:rsidRPr="005A5F5B" w:rsidTr="00165B41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0C0A6F" w:rsidRPr="005A5F5B" w:rsidTr="00165B41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Исполнители </w:t>
            </w:r>
          </w:p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Pr="00EC1411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0C0A6F" w:rsidRPr="005A5F5B" w:rsidTr="00165B41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0C0A6F" w:rsidRPr="005A5F5B" w:rsidTr="00165B41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8E2670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069FB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.- 227835,60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.- 43516,00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.- 393 340,00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5621E1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2021г.- 44 067,5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2022г.- 44 000,00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2023г.- 44 000,00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Пестяковского муниципального района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.- 0,00 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.- 3835,60 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.- 770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.- 800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2021г.- 0,00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 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.- 224000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.- 42746,00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65B41">
              <w:rPr>
                <w:rFonts w:ascii="Times New Roman" w:hAnsi="Times New Roman"/>
                <w:sz w:val="24"/>
                <w:szCs w:val="24"/>
              </w:rPr>
              <w:t>.- 393 340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5621E1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2021г.- 44 067,50</w:t>
            </w:r>
            <w:r w:rsidR="000C0A6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2022г.- 44 000,00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2023г.- 44 000,00 рублей</w:t>
            </w:r>
          </w:p>
          <w:p w:rsidR="000C0A6F" w:rsidRPr="006D02E6" w:rsidRDefault="000C0A6F" w:rsidP="00165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областной бюджет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2016г</w:t>
            </w:r>
            <w:r>
              <w:rPr>
                <w:rFonts w:ascii="Times New Roman" w:hAnsi="Times New Roman"/>
                <w:sz w:val="24"/>
                <w:szCs w:val="24"/>
              </w:rPr>
              <w:t>.- 0,00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>.- 0,00 р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0C0A6F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0C0A6F" w:rsidRPr="005A5F5B" w:rsidRDefault="000C0A6F" w:rsidP="00165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A6F" w:rsidRPr="005A5F5B" w:rsidTr="00165B41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8E2670" w:rsidRDefault="000C0A6F" w:rsidP="00165B41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A6F" w:rsidRPr="00054443" w:rsidRDefault="000C0A6F" w:rsidP="00165B41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054443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0C0A6F" w:rsidRPr="005A5F5B" w:rsidRDefault="000C0A6F" w:rsidP="000C0A6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0C0A6F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 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0C0A6F" w:rsidRPr="001333B5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</w:rPr>
        <w:t>основного мероприятия – «Создание условий для проведения иных мероприятий в области муниципального управления».</w:t>
      </w:r>
    </w:p>
    <w:p w:rsidR="000C0A6F" w:rsidRPr="003F4DA7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sz w:val="28"/>
        </w:rPr>
        <w:t>Для выполнения основного мероприятия Подпрограмма предусматривает реализацию следующих мероприятий:</w:t>
      </w:r>
    </w:p>
    <w:p w:rsidR="000C0A6F" w:rsidRPr="001333B5" w:rsidRDefault="000C0A6F" w:rsidP="000C0A6F">
      <w:pPr>
        <w:numPr>
          <w:ilvl w:val="0"/>
          <w:numId w:val="6"/>
        </w:numPr>
        <w:shd w:val="clear" w:color="auto" w:fill="FFFFFF"/>
        <w:spacing w:after="0"/>
        <w:ind w:left="0"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Пенсионное обеспечение лиц, замещавших выборные муниципальные должности на постоянной основе, муниципальные должности муниципальной </w:t>
      </w:r>
      <w:proofErr w:type="gramStart"/>
      <w:r w:rsidRPr="001333B5">
        <w:rPr>
          <w:rFonts w:ascii="Times New Roman" w:hAnsi="Times New Roman"/>
          <w:sz w:val="28"/>
          <w:szCs w:val="24"/>
        </w:rPr>
        <w:t>службы  администрации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поселения</w:t>
      </w:r>
    </w:p>
    <w:p w:rsidR="000C0A6F" w:rsidRPr="001333B5" w:rsidRDefault="000C0A6F" w:rsidP="000C0A6F">
      <w:pPr>
        <w:shd w:val="clear" w:color="auto" w:fill="FFFFFF"/>
        <w:spacing w:after="0"/>
        <w:ind w:right="10" w:firstLine="851"/>
        <w:jc w:val="both"/>
        <w:rPr>
          <w:rFonts w:ascii="Times New Roman" w:hAnsi="Times New Roman"/>
          <w:sz w:val="28"/>
          <w:szCs w:val="24"/>
        </w:rPr>
      </w:pPr>
      <w:proofErr w:type="gramStart"/>
      <w:r w:rsidRPr="001333B5">
        <w:rPr>
          <w:rFonts w:ascii="Times New Roman" w:hAnsi="Times New Roman"/>
          <w:sz w:val="28"/>
          <w:szCs w:val="24"/>
        </w:rPr>
        <w:t>Выплата  производится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в виде ежемесячной выплаты  государственной пенсии за выслугу лет.</w:t>
      </w:r>
    </w:p>
    <w:p w:rsidR="000C0A6F" w:rsidRPr="001333B5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Организация конкурсов и аукционов</w:t>
      </w:r>
    </w:p>
    <w:p w:rsidR="000C0A6F" w:rsidRPr="001333B5" w:rsidRDefault="000C0A6F" w:rsidP="000C0A6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Финансовые средства заложены на основании заключенного договора со специализиров</w:t>
      </w:r>
      <w:r>
        <w:rPr>
          <w:rFonts w:ascii="Times New Roman" w:hAnsi="Times New Roman"/>
          <w:bCs/>
          <w:sz w:val="28"/>
          <w:szCs w:val="24"/>
        </w:rPr>
        <w:t>анной организацией</w:t>
      </w:r>
      <w:r w:rsidRPr="001333B5">
        <w:rPr>
          <w:rFonts w:ascii="Times New Roman" w:hAnsi="Times New Roman"/>
          <w:bCs/>
          <w:sz w:val="28"/>
          <w:szCs w:val="24"/>
        </w:rPr>
        <w:t>.</w:t>
      </w:r>
    </w:p>
    <w:p w:rsidR="000C0A6F" w:rsidRPr="001333B5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Расходы на участие в межмуниципальном сотрудничестве</w:t>
      </w:r>
    </w:p>
    <w:p w:rsidR="000C0A6F" w:rsidRPr="00BF205D" w:rsidRDefault="000C0A6F" w:rsidP="000C0A6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bCs/>
          <w:sz w:val="28"/>
        </w:rPr>
        <w:t xml:space="preserve">Финансовые средства по оплате членских взносов </w:t>
      </w:r>
      <w:r w:rsidRPr="001333B5">
        <w:rPr>
          <w:rFonts w:ascii="Times New Roman" w:hAnsi="Times New Roman"/>
          <w:sz w:val="28"/>
        </w:rPr>
        <w:t xml:space="preserve">в Ассоциацию «Совет </w:t>
      </w:r>
      <w:r w:rsidRPr="001333B5">
        <w:rPr>
          <w:rFonts w:ascii="Times New Roman" w:hAnsi="Times New Roman"/>
          <w:sz w:val="28"/>
        </w:rPr>
        <w:lastRenderedPageBreak/>
        <w:t>муниципальных образований Ивановской области»</w:t>
      </w:r>
      <w:r w:rsidRPr="001333B5">
        <w:rPr>
          <w:rFonts w:ascii="Times New Roman" w:hAnsi="Times New Roman"/>
          <w:bCs/>
          <w:sz w:val="28"/>
        </w:rPr>
        <w:t xml:space="preserve">» установлены учредительным договором </w:t>
      </w:r>
      <w:r w:rsidRPr="001333B5">
        <w:rPr>
          <w:rFonts w:ascii="Times New Roman" w:hAnsi="Times New Roman"/>
          <w:sz w:val="28"/>
        </w:rPr>
        <w:t>Ассоциации «Совет муниципальных образований Ивановской области.</w:t>
      </w:r>
    </w:p>
    <w:p w:rsidR="000C0A6F" w:rsidRDefault="000C0A6F" w:rsidP="000C0A6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публикации в средствах массовой информации</w:t>
      </w:r>
    </w:p>
    <w:p w:rsidR="000C0A6F" w:rsidRDefault="000C0A6F" w:rsidP="000C0A6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0C0A6F" w:rsidRDefault="000C0A6F" w:rsidP="000C0A6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4"/>
        <w:keepNext w:val="0"/>
        <w:widowControl w:val="0"/>
        <w:spacing w:before="0" w:after="0"/>
        <w:ind w:left="72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3.</w:t>
      </w:r>
      <w:r w:rsidRPr="001333B5">
        <w:rPr>
          <w:rFonts w:ascii="Times New Roman" w:hAnsi="Times New Roman"/>
          <w:szCs w:val="24"/>
          <w:lang w:val="ru-RU"/>
        </w:rPr>
        <w:t xml:space="preserve"> </w:t>
      </w: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Целевые показатели реализации подпрограммы представлены в нижеследующей таблице.</w:t>
      </w:r>
    </w:p>
    <w:p w:rsidR="000C0A6F" w:rsidRPr="001333B5" w:rsidRDefault="000C0A6F" w:rsidP="000C0A6F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0C0A6F" w:rsidSect="00165B4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0A6F" w:rsidRPr="001333B5" w:rsidRDefault="000C0A6F" w:rsidP="000C0A6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0C0A6F" w:rsidRPr="005A5F5B" w:rsidRDefault="000C0A6F" w:rsidP="000C0A6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5A5F5B">
        <w:rPr>
          <w:rFonts w:ascii="Times New Roman" w:hAnsi="Times New Roman"/>
          <w:b/>
          <w:sz w:val="24"/>
          <w:szCs w:val="24"/>
        </w:rPr>
        <w:t xml:space="preserve"> </w:t>
      </w:r>
      <w:r w:rsidRPr="005A5F5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901"/>
        <w:gridCol w:w="659"/>
        <w:gridCol w:w="759"/>
        <w:gridCol w:w="709"/>
        <w:gridCol w:w="708"/>
        <w:gridCol w:w="741"/>
        <w:gridCol w:w="819"/>
        <w:gridCol w:w="850"/>
        <w:gridCol w:w="851"/>
        <w:gridCol w:w="850"/>
        <w:gridCol w:w="236"/>
      </w:tblGrid>
      <w:tr w:rsidR="000C0A6F" w:rsidRPr="005A5F5B" w:rsidTr="00165B41">
        <w:trPr>
          <w:gridAfter w:val="1"/>
          <w:wAfter w:w="236" w:type="dxa"/>
          <w:cantSplit/>
          <w:trHeight w:val="692"/>
          <w:tblHeader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19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C0A6F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A6F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0C0A6F" w:rsidRPr="005A5F5B" w:rsidTr="00165B41">
        <w:trPr>
          <w:cantSplit/>
          <w:trHeight w:val="789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7" w:type="dxa"/>
            <w:gridSpan w:val="9"/>
            <w:tcBorders>
              <w:right w:val="single" w:sz="2" w:space="0" w:color="auto"/>
            </w:tcBorders>
          </w:tcPr>
          <w:p w:rsidR="000C0A6F" w:rsidRPr="009C2817" w:rsidRDefault="000C0A6F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0C0A6F" w:rsidRPr="009C2817" w:rsidRDefault="000C0A6F" w:rsidP="00165B41">
            <w:pPr>
              <w:pStyle w:val="Pro-Tab"/>
              <w:widowControl w:val="0"/>
              <w:tabs>
                <w:tab w:val="left" w:pos="614"/>
              </w:tabs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0C0A6F" w:rsidRPr="009C2817" w:rsidRDefault="000C0A6F" w:rsidP="00165B41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A6F" w:rsidRPr="005A5F5B" w:rsidTr="00165B41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0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6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C0A6F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65B41" w:rsidRDefault="00165B41" w:rsidP="00165B41">
            <w:pPr>
              <w:jc w:val="center"/>
              <w:rPr>
                <w:lang w:eastAsia="ru-RU"/>
              </w:rPr>
            </w:pPr>
          </w:p>
          <w:p w:rsidR="00165B41" w:rsidRDefault="00165B41" w:rsidP="00165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5B41" w:rsidRDefault="00165B41" w:rsidP="00165B41">
            <w:pPr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0C0A6F" w:rsidRPr="00165B41" w:rsidRDefault="000C0A6F" w:rsidP="00165B41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165B41" w:rsidRDefault="00165B41" w:rsidP="0016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41" w:rsidRDefault="00165B41" w:rsidP="00165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A6F" w:rsidRPr="003307E3" w:rsidRDefault="00165B41" w:rsidP="00165B41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C0A6F" w:rsidRPr="00165B41" w:rsidTr="00165B41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01" w:type="dxa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6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5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1" w:type="dxa"/>
            <w:vAlign w:val="center"/>
          </w:tcPr>
          <w:p w:rsidR="000C0A6F" w:rsidRPr="005A5F5B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vAlign w:val="center"/>
          </w:tcPr>
          <w:p w:rsidR="000C0A6F" w:rsidRPr="00165B41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0C0A6F" w:rsidRPr="00165B41" w:rsidRDefault="000C0A6F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B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65B41" w:rsidRPr="00165B41" w:rsidRDefault="00165B41" w:rsidP="00165B41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B41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</w:p>
          <w:p w:rsidR="000C0A6F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  <w:r w:rsidRPr="00165B41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</w:tcPr>
          <w:p w:rsidR="00165B41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</w:p>
          <w:p w:rsidR="000C0A6F" w:rsidRPr="00165B41" w:rsidRDefault="00165B41" w:rsidP="00165B41">
            <w:pPr>
              <w:rPr>
                <w:rFonts w:ascii="Times New Roman" w:hAnsi="Times New Roman"/>
                <w:lang w:eastAsia="ru-RU"/>
              </w:rPr>
            </w:pPr>
            <w:r w:rsidRPr="00165B41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Default="000C0A6F" w:rsidP="000C0A6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0C0A6F" w:rsidRPr="001333B5" w:rsidRDefault="000C0A6F" w:rsidP="000C0A6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    Расходы на реализацию мероприятий представлены в таблице 3 «Ресурсное обеспечение подпрограммы».</w:t>
      </w:r>
    </w:p>
    <w:p w:rsidR="000C0A6F" w:rsidRPr="001333B5" w:rsidRDefault="000C0A6F" w:rsidP="000C0A6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C0A6F" w:rsidRPr="001333B5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</w:p>
    <w:p w:rsidR="000C0A6F" w:rsidRPr="005A5F5B" w:rsidRDefault="000C0A6F" w:rsidP="000C0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A5F5B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992"/>
        <w:gridCol w:w="992"/>
        <w:gridCol w:w="992"/>
        <w:gridCol w:w="1276"/>
        <w:gridCol w:w="992"/>
        <w:gridCol w:w="1134"/>
        <w:gridCol w:w="993"/>
      </w:tblGrid>
      <w:tr w:rsidR="000C0A6F" w:rsidRPr="005A5F5B" w:rsidTr="00777072">
        <w:trPr>
          <w:trHeight w:val="841"/>
        </w:trPr>
        <w:tc>
          <w:tcPr>
            <w:tcW w:w="426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134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0C0A6F" w:rsidRPr="005A5F5B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0C0A6F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</w:tr>
      <w:tr w:rsidR="000C0A6F" w:rsidRPr="00D55D30" w:rsidTr="00777072">
        <w:trPr>
          <w:trHeight w:val="312"/>
        </w:trPr>
        <w:tc>
          <w:tcPr>
            <w:tcW w:w="2553" w:type="dxa"/>
            <w:gridSpan w:val="2"/>
          </w:tcPr>
          <w:p w:rsidR="000C0A6F" w:rsidRPr="002E0313" w:rsidRDefault="000C0A6F" w:rsidP="00165B41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Подпрограмма, всего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C0A6F" w:rsidRPr="00165B41" w:rsidRDefault="000C0A6F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0C0A6F" w:rsidRPr="00165B41" w:rsidRDefault="00777072" w:rsidP="00165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0C0A6F" w:rsidRPr="00165B41" w:rsidRDefault="00777072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0C0A6F" w:rsidRPr="00165B41" w:rsidRDefault="005621E1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44 067,50</w:t>
            </w:r>
          </w:p>
        </w:tc>
        <w:tc>
          <w:tcPr>
            <w:tcW w:w="1134" w:type="dxa"/>
          </w:tcPr>
          <w:p w:rsidR="000C0A6F" w:rsidRPr="00165B41" w:rsidRDefault="000C0A6F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0C0A6F" w:rsidRPr="00165B41" w:rsidRDefault="00777072" w:rsidP="00165B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278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607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43108,0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393 340,0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520"/>
        </w:trPr>
        <w:tc>
          <w:tcPr>
            <w:tcW w:w="2553" w:type="dxa"/>
            <w:gridSpan w:val="2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2E0313">
              <w:rPr>
                <w:rFonts w:ascii="Times New Roman" w:hAnsi="Times New Roman"/>
                <w:b/>
                <w:bCs/>
                <w:color w:val="26282F"/>
              </w:rPr>
              <w:t>1.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Создание условий для проведения иных мероприятий </w:t>
            </w:r>
            <w:r w:rsidRPr="002E0313">
              <w:rPr>
                <w:rFonts w:ascii="Times New Roman" w:hAnsi="Times New Roman"/>
              </w:rPr>
              <w:lastRenderedPageBreak/>
              <w:t>в области муниципального управления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7072" w:rsidRPr="00D55D30" w:rsidTr="00777072">
        <w:trPr>
          <w:trHeight w:val="307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251634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249315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,73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227 835,60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43516,00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393340,0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5621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44000,00</w:t>
            </w:r>
          </w:p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1.1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36000,00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1.2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Организация и проведение мероприятий, связанных с государственными праздниками, юбилейными и памятными датами  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конкурсов и аукционов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Cs/>
                <w:sz w:val="18"/>
                <w:szCs w:val="18"/>
              </w:rPr>
              <w:t>120 000,</w:t>
            </w:r>
            <w:r w:rsidRPr="00165B4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120000,00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1.4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350 000,00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 w:val="restart"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1.5</w:t>
            </w: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</w:t>
            </w:r>
            <w:r w:rsidRPr="002E0313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554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770,00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845,00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участие в межмуниципальном сотрудничестве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7892,00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7108,00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6746,00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6540,0</w:t>
            </w:r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7072" w:rsidRPr="00165B41" w:rsidRDefault="005621E1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8067,50</w:t>
            </w:r>
            <w:bookmarkStart w:id="0" w:name="_GoBack"/>
            <w:bookmarkEnd w:id="0"/>
          </w:p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8000,0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1.6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1.7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2319,00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3835,60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D55D30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публикации в средствах массовой информации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15000,00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60000,00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1.8</w:t>
            </w: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46 546,08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погашение кредиторской задолженности по Администрации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b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  <w:tr w:rsidR="00777072" w:rsidRPr="002E0313" w:rsidTr="00777072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2E0313" w:rsidRDefault="00777072" w:rsidP="00777072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3877,65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72" w:rsidRPr="00165B41" w:rsidRDefault="00777072" w:rsidP="007770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65B41">
              <w:rPr>
                <w:rFonts w:ascii="Times New Roman" w:eastAsia="Calibri" w:hAnsi="Times New Roman"/>
                <w:sz w:val="18"/>
                <w:szCs w:val="18"/>
              </w:rPr>
              <w:t>0,00</w:t>
            </w:r>
          </w:p>
        </w:tc>
      </w:tr>
    </w:tbl>
    <w:p w:rsidR="00707F36" w:rsidRDefault="00707F36"/>
    <w:sectPr w:rsidR="0070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6F"/>
    <w:rsid w:val="000C0A6F"/>
    <w:rsid w:val="00165B41"/>
    <w:rsid w:val="002A1968"/>
    <w:rsid w:val="005621E1"/>
    <w:rsid w:val="00707F36"/>
    <w:rsid w:val="00777072"/>
    <w:rsid w:val="00952C69"/>
    <w:rsid w:val="00C9398C"/>
    <w:rsid w:val="00F0047D"/>
    <w:rsid w:val="00F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C75D-EC4E-4630-B989-BC03B5FF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6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C0A6F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0A6F"/>
    <w:pPr>
      <w:keepNext/>
      <w:widowControl w:val="0"/>
      <w:autoSpaceDE w:val="0"/>
      <w:autoSpaceDN w:val="0"/>
      <w:spacing w:before="240" w:after="6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C0A6F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A6F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0A6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C0A6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C0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C0A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0C0A6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0C0A6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0C0A6F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0C0A6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C0A6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0C0A6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rsid w:val="000C0A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0C0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0C0A6F"/>
  </w:style>
  <w:style w:type="paragraph" w:styleId="aa">
    <w:name w:val="No Spacing"/>
    <w:uiPriority w:val="1"/>
    <w:qFormat/>
    <w:rsid w:val="000C0A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C0A6F"/>
  </w:style>
  <w:style w:type="paragraph" w:customStyle="1" w:styleId="consplusnormal0">
    <w:name w:val="consplusnormal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0C0A6F"/>
    <w:pPr>
      <w:keepNext/>
      <w:spacing w:before="240" w:after="120" w:line="240" w:lineRule="auto"/>
      <w:contextualSpacing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b">
    <w:name w:val="Содержимое таблицы"/>
    <w:basedOn w:val="a"/>
    <w:rsid w:val="000C0A6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0C0A6F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0C0A6F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0C0A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0C0A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0C0A6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0C0A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unhideWhenUsed/>
    <w:rsid w:val="000C0A6F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0C0A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0C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0C0A6F"/>
    <w:rPr>
      <w:rFonts w:ascii="Consolas" w:eastAsia="Times New Roman" w:hAnsi="Consolas" w:cs="Consolas"/>
      <w:sz w:val="20"/>
      <w:szCs w:val="20"/>
    </w:rPr>
  </w:style>
  <w:style w:type="character" w:styleId="af1">
    <w:name w:val="Strong"/>
    <w:qFormat/>
    <w:rsid w:val="000C0A6F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0C0A6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0C0A6F"/>
    <w:rPr>
      <w:b/>
      <w:bCs/>
      <w:spacing w:val="2"/>
      <w:sz w:val="24"/>
      <w:szCs w:val="24"/>
    </w:rPr>
  </w:style>
  <w:style w:type="paragraph" w:styleId="af3">
    <w:name w:val="Subtitle"/>
    <w:basedOn w:val="a"/>
    <w:link w:val="af2"/>
    <w:qFormat/>
    <w:rsid w:val="000C0A6F"/>
    <w:pPr>
      <w:widowControl w:val="0"/>
      <w:autoSpaceDE w:val="0"/>
      <w:autoSpaceDN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0C0A6F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0C0A6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C0A6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0C0A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C0A6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0C0A6F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0C0A6F"/>
    <w:pPr>
      <w:spacing w:before="40" w:after="40" w:line="240" w:lineRule="auto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0C0A6F"/>
    <w:pPr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C0A6F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0C0A6F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0C0A6F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0C0A6F"/>
    <w:pPr>
      <w:tabs>
        <w:tab w:val="left" w:pos="1134"/>
      </w:tabs>
      <w:spacing w:before="180"/>
      <w:ind w:hanging="567"/>
    </w:pPr>
  </w:style>
  <w:style w:type="paragraph" w:styleId="af8">
    <w:name w:val="header"/>
    <w:basedOn w:val="a"/>
    <w:link w:val="af9"/>
    <w:uiPriority w:val="99"/>
    <w:unhideWhenUsed/>
    <w:rsid w:val="000C0A6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0C0A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"/>
    <w:basedOn w:val="a"/>
    <w:rsid w:val="000C0A6F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b">
    <w:name w:val="Emphasis"/>
    <w:uiPriority w:val="20"/>
    <w:qFormat/>
    <w:rsid w:val="000C0A6F"/>
    <w:rPr>
      <w:i/>
      <w:iCs/>
    </w:rPr>
  </w:style>
  <w:style w:type="paragraph" w:customStyle="1" w:styleId="15">
    <w:name w:val="1"/>
    <w:basedOn w:val="a"/>
    <w:rsid w:val="000C0A6F"/>
    <w:pPr>
      <w:spacing w:before="100" w:beforeAutospacing="1" w:after="100" w:afterAutospacing="1" w:line="240" w:lineRule="auto"/>
    </w:pPr>
    <w:rPr>
      <w:rFonts w:ascii="Tahoma" w:hAnsi="Tahoma"/>
      <w:bCs/>
      <w:sz w:val="20"/>
      <w:szCs w:val="20"/>
      <w:lang w:val="en-US"/>
    </w:rPr>
  </w:style>
  <w:style w:type="paragraph" w:styleId="31">
    <w:name w:val="Body Text Indent 3"/>
    <w:basedOn w:val="a"/>
    <w:link w:val="32"/>
    <w:rsid w:val="000C0A6F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C0A6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10</cp:revision>
  <cp:lastPrinted>2020-12-10T07:55:00Z</cp:lastPrinted>
  <dcterms:created xsi:type="dcterms:W3CDTF">2020-12-09T07:16:00Z</dcterms:created>
  <dcterms:modified xsi:type="dcterms:W3CDTF">2021-03-09T06:32:00Z</dcterms:modified>
</cp:coreProperties>
</file>